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7C" w:rsidRPr="00A27B8D" w:rsidRDefault="003C697C" w:rsidP="00082E7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0" w:name="_GoBack"/>
      <w:bookmarkEnd w:id="0"/>
      <w:r w:rsidRPr="00A27B8D">
        <w:rPr>
          <w:rFonts w:ascii="Times New Roman" w:hAnsi="Times New Roman" w:cs="Times New Roman"/>
          <w:b/>
          <w:sz w:val="28"/>
          <w:szCs w:val="28"/>
          <w:lang w:val="hu-HU"/>
        </w:rPr>
        <w:t>A Fizika Szakterületi Habilitációs Bizottság értékelési rendszere</w:t>
      </w:r>
    </w:p>
    <w:p w:rsidR="003C697C" w:rsidRPr="00EE0A0D" w:rsidRDefault="00112A14" w:rsidP="00082E7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D71FC">
        <w:rPr>
          <w:rFonts w:ascii="Times New Roman" w:hAnsi="Times New Roman" w:cs="Times New Roman"/>
          <w:sz w:val="24"/>
          <w:szCs w:val="24"/>
          <w:lang w:val="hu-HU"/>
        </w:rPr>
        <w:t xml:space="preserve">Az FSZHB 2015. április 9-ei </w:t>
      </w:r>
      <w:r w:rsidR="003C697C" w:rsidRPr="005D71FC">
        <w:rPr>
          <w:rFonts w:ascii="Times New Roman" w:hAnsi="Times New Roman" w:cs="Times New Roman"/>
          <w:sz w:val="24"/>
          <w:szCs w:val="24"/>
          <w:lang w:val="hu-HU"/>
        </w:rPr>
        <w:t>ülésén elfogadott</w:t>
      </w:r>
      <w:r w:rsidR="00313C8D" w:rsidRPr="005D71FC">
        <w:rPr>
          <w:rFonts w:ascii="Times New Roman" w:hAnsi="Times New Roman" w:cs="Times New Roman"/>
          <w:sz w:val="24"/>
          <w:szCs w:val="24"/>
          <w:lang w:val="hu-HU"/>
        </w:rPr>
        <w:t>, módosított</w:t>
      </w:r>
      <w:r w:rsidR="003C697C" w:rsidRPr="005D71FC">
        <w:rPr>
          <w:rFonts w:ascii="Times New Roman" w:hAnsi="Times New Roman" w:cs="Times New Roman"/>
          <w:sz w:val="24"/>
          <w:szCs w:val="24"/>
          <w:lang w:val="hu-HU"/>
        </w:rPr>
        <w:t xml:space="preserve"> szabályzat</w:t>
      </w:r>
    </w:p>
    <w:p w:rsidR="00082E7D" w:rsidRPr="005D71FC" w:rsidRDefault="00321266" w:rsidP="00506B80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</w:pPr>
      <w:r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>(A Fizikai Intézeti Tanács 2015. május 6-i ülésén, a Kari Habilitációs</w:t>
      </w:r>
      <w:r w:rsidR="00506B80"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 xml:space="preserve"> Bizottság</w:t>
      </w:r>
      <w:r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 xml:space="preserve"> 2015. </w:t>
      </w:r>
      <w:r w:rsidR="00CF3AD1"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>szept.</w:t>
      </w:r>
      <w:r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 xml:space="preserve"> </w:t>
      </w:r>
      <w:r w:rsidR="00CF3AD1"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>29</w:t>
      </w:r>
      <w:r w:rsidRPr="005D71FC">
        <w:rPr>
          <w:rFonts w:ascii="Times New Roman" w:hAnsi="Times New Roman" w:cs="Times New Roman"/>
          <w:color w:val="000000" w:themeColor="text1"/>
          <w:sz w:val="18"/>
          <w:szCs w:val="18"/>
          <w:lang w:val="hu-HU"/>
        </w:rPr>
        <w:t>-i ülésén fogadta el)</w:t>
      </w:r>
    </w:p>
    <w:p w:rsidR="00966D00" w:rsidRPr="00EE0A0D" w:rsidRDefault="00966D00" w:rsidP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BB65F4" w:rsidRDefault="005D71FC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>A Ka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ri Habilitációs Bizottság előírásának megfelelően a Fizika Szakterületi Habilitációs Bizottság (FSZHB) elkészítette saját habilitációs értékelési elveit, amelynek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13C8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kettős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szerepet szán:</w:t>
      </w:r>
    </w:p>
    <w:p w:rsidR="003C697C" w:rsidRPr="00BB65F4" w:rsidRDefault="003C697C" w:rsidP="00DE1FA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>A habilitációra jelentkező kollégákat e nyilvános szempontok segíthetik a kérelem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B65F4">
        <w:rPr>
          <w:rFonts w:ascii="Times New Roman" w:hAnsi="Times New Roman" w:cs="Times New Roman"/>
          <w:sz w:val="24"/>
          <w:szCs w:val="24"/>
          <w:lang w:val="hu-HU"/>
        </w:rPr>
        <w:t>benyújtása időszerűségének megítélésében;</w:t>
      </w:r>
    </w:p>
    <w:p w:rsidR="007B724F" w:rsidRPr="00BB65F4" w:rsidRDefault="003C697C" w:rsidP="00DE1FA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>A habilitációs folyama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>t során az értékelési rendszer fi</w:t>
      </w:r>
      <w:r w:rsidRPr="00BB65F4">
        <w:rPr>
          <w:rFonts w:ascii="Times New Roman" w:hAnsi="Times New Roman" w:cs="Times New Roman"/>
          <w:sz w:val="24"/>
          <w:szCs w:val="24"/>
          <w:lang w:val="hu-HU"/>
        </w:rPr>
        <w:t>gyelembe vételét ajánlja az eseti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B65F4">
        <w:rPr>
          <w:rFonts w:ascii="Times New Roman" w:hAnsi="Times New Roman" w:cs="Times New Roman"/>
          <w:sz w:val="24"/>
          <w:szCs w:val="24"/>
          <w:lang w:val="hu-HU"/>
        </w:rPr>
        <w:t>Szakértői Bizottságoknak is. Az eseti Szakértői Bizottságnak kötelessége a számszerű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B65F4">
        <w:rPr>
          <w:rFonts w:ascii="Times New Roman" w:hAnsi="Times New Roman" w:cs="Times New Roman"/>
          <w:sz w:val="24"/>
          <w:szCs w:val="24"/>
          <w:lang w:val="hu-HU"/>
        </w:rPr>
        <w:t>követelményeken túl a teljesítmény</w:t>
      </w:r>
      <w:r w:rsidR="00A27B8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B724F" w:rsidRPr="00BB65F4">
        <w:rPr>
          <w:rFonts w:ascii="Times New Roman" w:hAnsi="Times New Roman" w:cs="Times New Roman"/>
          <w:sz w:val="24"/>
          <w:szCs w:val="24"/>
          <w:lang w:val="hu-HU"/>
        </w:rPr>
        <w:t>minőségének gondos mérlegelése.</w:t>
      </w:r>
    </w:p>
    <w:p w:rsidR="003C697C" w:rsidRPr="00BB65F4" w:rsidRDefault="003C697C" w:rsidP="00DE1FAC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i/>
          <w:sz w:val="24"/>
          <w:szCs w:val="24"/>
          <w:lang w:val="hu-HU"/>
        </w:rPr>
        <w:t>I. Szakmai követelmények a habilitációs kérelem dokumentumaival kapcsolatban</w:t>
      </w:r>
    </w:p>
    <w:p w:rsidR="003C697C" w:rsidRPr="00BB65F4" w:rsidRDefault="00A27B8D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A tudományos fokozat megszerzését követő tudományos tevékenységet bemutató ö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szefoglalásban a pályázó egyértelműen fogalmazza meg a többszerzős együttműködésben</w:t>
      </w:r>
      <w:r w:rsidR="00EE0A0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elért eredményekhez való személyes hozzájárulását. Kü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>lönösen érvényes ez nagy nemzet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közi kísérleti csoportok eredményeihez való hozzájárulásra.</w:t>
      </w:r>
    </w:p>
    <w:p w:rsidR="003C697C" w:rsidRPr="00BB65F4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A pályázó részletesen ismertesse szakmai terveit, beágyazva a kutatási terület nemzetközi tendenciáiba.</w:t>
      </w:r>
    </w:p>
    <w:p w:rsidR="003C697C" w:rsidRPr="00BB65F4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A pályázó nyújtsa be tudományos publikációinak teljes listáját, világosan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különválasztva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egyrészt a tudományos fokozat megszerzése előtti és utáni időszakot,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másrészt az I. és II.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Mellékletben felsorolt tudományos és oktatási közlési típusokat.</w:t>
      </w:r>
      <w:r w:rsidR="00FC02D4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A pályázó nyilatkozhat, hogy az értékelést az MTMT-ben elhelyezett publikációi </w:t>
      </w:r>
      <w:bookmarkStart w:id="1" w:name="__DdeLink__608_2103804885"/>
      <w:bookmarkEnd w:id="1"/>
      <w:r w:rsidR="00FC02D4" w:rsidRPr="00BB65F4">
        <w:rPr>
          <w:rFonts w:ascii="Times New Roman" w:hAnsi="Times New Roman" w:cs="Times New Roman"/>
          <w:sz w:val="24"/>
          <w:szCs w:val="24"/>
          <w:lang w:val="hu-HU"/>
        </w:rPr>
        <w:t>alapján kéri elvégezni.</w:t>
      </w:r>
      <w:r w:rsidR="00C22DE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Az MTMT össze</w:t>
      </w:r>
      <w:r w:rsidR="008B0AD3" w:rsidRPr="00BB65F4">
        <w:rPr>
          <w:rFonts w:ascii="Times New Roman" w:hAnsi="Times New Roman" w:cs="Times New Roman"/>
          <w:sz w:val="24"/>
          <w:szCs w:val="24"/>
          <w:lang w:val="hu-HU"/>
        </w:rPr>
        <w:t>foglaló táblázat</w:t>
      </w:r>
      <w:r w:rsidR="00591F30" w:rsidRPr="00BB65F4"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C22DE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mindenképpen csatol</w:t>
      </w:r>
      <w:r w:rsidR="00591F30" w:rsidRPr="00BB65F4">
        <w:rPr>
          <w:rFonts w:ascii="Times New Roman" w:hAnsi="Times New Roman" w:cs="Times New Roman"/>
          <w:sz w:val="24"/>
          <w:szCs w:val="24"/>
          <w:lang w:val="hu-HU"/>
        </w:rPr>
        <w:t>ni kell</w:t>
      </w:r>
      <w:r w:rsidR="008B0AD3" w:rsidRPr="00BB65F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C697C" w:rsidRPr="00BB65F4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A teljes tudományos pályán kapott hivatkozások listájában csak a független (az adott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publikációban nem társszerzőktől kapott) hivatkozások szerepeltethetők.</w:t>
      </w:r>
      <w:r w:rsidR="00FC02D4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A pályázó nyilatkozhat, hogy az értékelést az MTMT-ben megtalálható hivatkozások alapján kéri elvégezni.</w:t>
      </w:r>
      <w:r w:rsidR="00C22DED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21267" w:rsidRPr="00BB65F4">
        <w:rPr>
          <w:rFonts w:ascii="Times New Roman" w:hAnsi="Times New Roman" w:cs="Times New Roman"/>
          <w:sz w:val="24"/>
          <w:szCs w:val="24"/>
          <w:lang w:val="hu-HU"/>
        </w:rPr>
        <w:t>Az MTMT összefoglaló táblázatát mindenképpen csatolni kell.</w:t>
      </w:r>
    </w:p>
    <w:p w:rsidR="003C697C" w:rsidRPr="00BB65F4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A jelölt oktatói-tudományos nevelői teljesítményének megítéléséhez adja meg az általa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vezetett és országos </w:t>
      </w:r>
      <w:r w:rsidR="00211746" w:rsidRPr="00BB65F4">
        <w:rPr>
          <w:rFonts w:ascii="Times New Roman" w:hAnsi="Times New Roman" w:cs="Times New Roman"/>
          <w:sz w:val="24"/>
          <w:szCs w:val="24"/>
          <w:lang w:val="hu-HU"/>
        </w:rPr>
        <w:t>illetve kari</w:t>
      </w:r>
      <w:r w:rsidR="007C7505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díjazásban részesült TDK-dolgozatokra, az eredményesen megvédett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szakdolgozatokra és a szakmai vezetésével elnyert t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udományos fokozatokra vonatkozó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információkat (a tevékenység helyszínéül szolgáló felsőoktatási intézmény, a diák neve, a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téma megnevezése, időpont).</w:t>
      </w:r>
    </w:p>
    <w:p w:rsidR="003C697C" w:rsidRPr="00BB65F4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Az FSZHB a fenti tartalmi vonatkozásokban tapasztalt esetleges 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>hiányosság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esetén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274C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élni kíván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a habilitációs kérelem kiegészíttetésére vonatkozó jogával.</w:t>
      </w:r>
    </w:p>
    <w:p w:rsidR="003C697C" w:rsidRPr="00EE0A0D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Javasoljuk, hogy az írott pályázati anyagot a benyújtással egy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időben a pályázó tegye</w:t>
      </w:r>
      <w:r w:rsidR="003927C3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elérhetővé internetes honlapján is.</w:t>
      </w:r>
    </w:p>
    <w:p w:rsidR="003C697C" w:rsidRDefault="00436C96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Tekintettel az eljárás 3-4 hónapos időtartamára, a Kari Habilitációs Szabályzatnak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megfelelő egyetemi tanrendi előadásokat célszerű a pál</w:t>
      </w:r>
      <w:r>
        <w:rPr>
          <w:rFonts w:ascii="Times New Roman" w:hAnsi="Times New Roman" w:cs="Times New Roman"/>
          <w:sz w:val="24"/>
          <w:szCs w:val="24"/>
          <w:lang w:val="hu-HU"/>
        </w:rPr>
        <w:t>yázat beadását követő félév tan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rendjéből választani.</w:t>
      </w:r>
    </w:p>
    <w:p w:rsidR="00EA4277" w:rsidRPr="00EE0A0D" w:rsidRDefault="00EA4277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A22CB8" w:rsidRDefault="003C697C" w:rsidP="00DE1FAC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22CB8">
        <w:rPr>
          <w:rFonts w:ascii="Times New Roman" w:hAnsi="Times New Roman" w:cs="Times New Roman"/>
          <w:i/>
          <w:sz w:val="24"/>
          <w:szCs w:val="24"/>
          <w:lang w:val="hu-HU"/>
        </w:rPr>
        <w:t>II. A tudományos tevékenység teljesítménymutatói és a habilitációs eljárás indíthatóságának kapcsolódó küszöbfeltételei</w:t>
      </w:r>
    </w:p>
    <w:p w:rsidR="00D7087E" w:rsidRPr="00BB65F4" w:rsidRDefault="00A468EA" w:rsidP="00D7087E">
      <w:pPr>
        <w:pStyle w:val="Irodalom"/>
        <w:numPr>
          <w:ilvl w:val="0"/>
          <w:numId w:val="14"/>
        </w:numPr>
        <w:jc w:val="both"/>
        <w:rPr>
          <w:lang w:val="hu-HU"/>
        </w:rPr>
      </w:pPr>
      <w:r w:rsidRPr="00BB65F4">
        <w:rPr>
          <w:lang w:val="hu-HU"/>
        </w:rPr>
        <w:t>A tudományos fokozat megszerzését követő időszakban az I. melléklet 1. pontjába sorolható folyóiratban publikált 25 ekvivalens publikáció. Az ekvivalens publikációk számításánál a publikációk 1-es, 2-es, illetve 3-as szorzószámmal számítanak, a következő szabályok szerint:</w:t>
      </w:r>
    </w:p>
    <w:p w:rsidR="00C655DE" w:rsidRDefault="00A468EA">
      <w:pPr>
        <w:pStyle w:val="Irodalom"/>
        <w:numPr>
          <w:ilvl w:val="1"/>
          <w:numId w:val="15"/>
        </w:numPr>
        <w:jc w:val="both"/>
        <w:rPr>
          <w:lang w:val="hu-HU"/>
        </w:rPr>
      </w:pPr>
      <w:r w:rsidRPr="00BB65F4">
        <w:rPr>
          <w:lang w:val="hu-HU"/>
        </w:rPr>
        <w:t xml:space="preserve">1-es szorzóval számít az a folyóiratcikk, amely olyan kiadványban jelent meg, melynek impaktfaktora a </w:t>
      </w:r>
      <w:r w:rsidR="000776E0" w:rsidRPr="00BB65F4">
        <w:rPr>
          <w:lang w:val="hu-HU"/>
        </w:rPr>
        <w:t xml:space="preserve">cikk </w:t>
      </w:r>
      <w:r w:rsidR="00B904CC" w:rsidRPr="00BB65F4">
        <w:rPr>
          <w:lang w:val="hu-HU"/>
        </w:rPr>
        <w:t>megjelenésének évében</w:t>
      </w:r>
      <w:r w:rsidRPr="00BB65F4">
        <w:rPr>
          <w:lang w:val="hu-HU"/>
        </w:rPr>
        <w:t xml:space="preserve"> legalább </w:t>
      </w:r>
      <w:r w:rsidRPr="00BB65F4">
        <w:rPr>
          <w:b/>
          <w:lang w:val="hu-HU"/>
        </w:rPr>
        <w:t>0,500</w:t>
      </w:r>
      <w:r w:rsidRPr="00BB65F4">
        <w:rPr>
          <w:lang w:val="hu-HU"/>
        </w:rPr>
        <w:t xml:space="preserve"> volt</w:t>
      </w:r>
      <w:r w:rsidR="00C16F79" w:rsidRPr="00BB65F4">
        <w:rPr>
          <w:lang w:val="hu-HU"/>
        </w:rPr>
        <w:t>.</w:t>
      </w:r>
    </w:p>
    <w:p w:rsidR="00C655DE" w:rsidRDefault="00C16F79">
      <w:pPr>
        <w:pStyle w:val="Irodalom"/>
        <w:numPr>
          <w:ilvl w:val="1"/>
          <w:numId w:val="15"/>
        </w:numPr>
        <w:jc w:val="both"/>
        <w:rPr>
          <w:lang w:val="hu-HU"/>
        </w:rPr>
      </w:pPr>
      <w:r w:rsidRPr="00BB65F4">
        <w:rPr>
          <w:lang w:val="hu-HU"/>
        </w:rPr>
        <w:t xml:space="preserve">2-es szorzóval számít az a folyóiratcikk, amely olyan kiadványban jelent meg, melynek impaktfaktora a </w:t>
      </w:r>
      <w:r w:rsidR="000776E0" w:rsidRPr="00BB65F4">
        <w:rPr>
          <w:lang w:val="hu-HU"/>
        </w:rPr>
        <w:t>cikk benyújtását megelőző 3 év mindegyikében</w:t>
      </w:r>
      <w:r w:rsidRPr="00BB65F4">
        <w:rPr>
          <w:lang w:val="hu-HU"/>
        </w:rPr>
        <w:t xml:space="preserve"> legalább </w:t>
      </w:r>
      <w:r w:rsidRPr="00BB65F4">
        <w:rPr>
          <w:b/>
          <w:lang w:val="hu-HU"/>
        </w:rPr>
        <w:t>3,000</w:t>
      </w:r>
      <w:r w:rsidRPr="00BB65F4">
        <w:rPr>
          <w:lang w:val="hu-HU"/>
        </w:rPr>
        <w:t xml:space="preserve"> volt.</w:t>
      </w:r>
    </w:p>
    <w:p w:rsidR="00C655DE" w:rsidRDefault="00C16F79">
      <w:pPr>
        <w:pStyle w:val="Irodalom"/>
        <w:numPr>
          <w:ilvl w:val="1"/>
          <w:numId w:val="15"/>
        </w:numPr>
        <w:jc w:val="both"/>
        <w:rPr>
          <w:lang w:val="hu-HU"/>
        </w:rPr>
      </w:pPr>
      <w:r w:rsidRPr="00BB65F4">
        <w:rPr>
          <w:lang w:val="hu-HU"/>
        </w:rPr>
        <w:t xml:space="preserve">3-as szorzóval számít az a folyóiratcikk, amely olyan kiadványban jelent meg, melynek impaktfaktora a </w:t>
      </w:r>
      <w:r w:rsidR="000776E0" w:rsidRPr="00BB65F4">
        <w:rPr>
          <w:lang w:val="hu-HU"/>
        </w:rPr>
        <w:t>cikk benyújtását megelőző 3 év mindegyikében</w:t>
      </w:r>
      <w:r w:rsidRPr="00BB65F4">
        <w:rPr>
          <w:lang w:val="hu-HU"/>
        </w:rPr>
        <w:t xml:space="preserve"> legalább </w:t>
      </w:r>
      <w:r w:rsidRPr="00BB65F4">
        <w:rPr>
          <w:b/>
          <w:lang w:val="hu-HU"/>
        </w:rPr>
        <w:t>6,000</w:t>
      </w:r>
      <w:r w:rsidRPr="00BB65F4">
        <w:rPr>
          <w:lang w:val="hu-HU"/>
        </w:rPr>
        <w:t xml:space="preserve"> volt.</w:t>
      </w:r>
    </w:p>
    <w:p w:rsidR="00C16F79" w:rsidRPr="00BB65F4" w:rsidRDefault="00C16F79" w:rsidP="00C16F79">
      <w:pPr>
        <w:pStyle w:val="Irodalom"/>
        <w:numPr>
          <w:ilvl w:val="0"/>
          <w:numId w:val="0"/>
        </w:numPr>
        <w:ind w:left="720"/>
        <w:jc w:val="both"/>
        <w:rPr>
          <w:lang w:val="hu-HU"/>
        </w:rPr>
      </w:pPr>
      <w:r w:rsidRPr="00BB65F4">
        <w:rPr>
          <w:lang w:val="hu-HU"/>
        </w:rPr>
        <w:t>A 25 ekvivalens publikáció közül legfeljebb 7 megszerezhető az I. melléklet 2-8. pontjaiban leírt tevékenységek teljesítésével is.</w:t>
      </w:r>
    </w:p>
    <w:p w:rsidR="003C697C" w:rsidRPr="00BB65F4" w:rsidRDefault="003C697C" w:rsidP="00D7087E">
      <w:pPr>
        <w:pStyle w:val="Irodalom"/>
        <w:numPr>
          <w:ilvl w:val="0"/>
          <w:numId w:val="14"/>
        </w:numPr>
        <w:jc w:val="both"/>
        <w:rPr>
          <w:lang w:val="hu-HU"/>
        </w:rPr>
      </w:pPr>
      <w:r w:rsidRPr="00BB65F4">
        <w:rPr>
          <w:lang w:val="hu-HU"/>
        </w:rPr>
        <w:t>A tudományos teljesítmény minimálisan elvárt szakmai visszhangja: az életpálya</w:t>
      </w:r>
      <w:r w:rsidR="00947049" w:rsidRPr="00BB65F4">
        <w:rPr>
          <w:lang w:val="hu-HU"/>
        </w:rPr>
        <w:t xml:space="preserve"> </w:t>
      </w:r>
      <w:r w:rsidRPr="00BB65F4">
        <w:rPr>
          <w:lang w:val="hu-HU"/>
        </w:rPr>
        <w:t>során legalább 130 független (az adott műben nem társszerzőtől származó) hivatkozás</w:t>
      </w:r>
      <w:r w:rsidR="00947049" w:rsidRPr="00BB65F4">
        <w:rPr>
          <w:lang w:val="hu-HU"/>
        </w:rPr>
        <w:t xml:space="preserve"> </w:t>
      </w:r>
      <w:r w:rsidRPr="00BB65F4">
        <w:rPr>
          <w:lang w:val="hu-HU"/>
        </w:rPr>
        <w:t>az I. melléklet 1., 4. és 5. pontjába sorolható művekre. A hivatkozások tartalmát a</w:t>
      </w:r>
      <w:r w:rsidR="00947049" w:rsidRPr="00BB65F4">
        <w:rPr>
          <w:lang w:val="hu-HU"/>
        </w:rPr>
        <w:t xml:space="preserve"> </w:t>
      </w:r>
      <w:r w:rsidRPr="00BB65F4">
        <w:rPr>
          <w:lang w:val="hu-HU"/>
        </w:rPr>
        <w:t>FSZHB az eljárás indításakor nem vizsgálja. Nyilvá</w:t>
      </w:r>
      <w:r w:rsidR="00947049" w:rsidRPr="00BB65F4">
        <w:rPr>
          <w:lang w:val="hu-HU"/>
        </w:rPr>
        <w:t>nosan elérhető elektronikus pub</w:t>
      </w:r>
      <w:r w:rsidRPr="00BB65F4">
        <w:rPr>
          <w:lang w:val="hu-HU"/>
        </w:rPr>
        <w:t>likációban (arXiv; disszertáció) megjelenő független hivatkozás is elfogadható.</w:t>
      </w:r>
    </w:p>
    <w:p w:rsidR="00D43783" w:rsidRPr="00BB65F4" w:rsidRDefault="00D43783" w:rsidP="00D7087E">
      <w:pPr>
        <w:pStyle w:val="Irodalom"/>
        <w:numPr>
          <w:ilvl w:val="0"/>
          <w:numId w:val="14"/>
        </w:numPr>
        <w:jc w:val="both"/>
        <w:rPr>
          <w:lang w:val="hu-HU"/>
        </w:rPr>
      </w:pPr>
      <w:r w:rsidRPr="00BB65F4">
        <w:rPr>
          <w:lang w:val="hu-HU"/>
        </w:rPr>
        <w:t>Elvárás legalább egy sikeresen elnyert tudományos pályázat témavezetése, melyek közé beszámítható az összes (legalább egy éves időtartamra szóló</w:t>
      </w:r>
      <w:r w:rsidR="003B6652" w:rsidRPr="00BB65F4">
        <w:rPr>
          <w:lang w:val="hu-HU"/>
        </w:rPr>
        <w:t>, nyilvánosan meghirdetett versenyben elnyert</w:t>
      </w:r>
      <w:r w:rsidRPr="00BB65F4">
        <w:rPr>
          <w:lang w:val="hu-HU"/>
        </w:rPr>
        <w:t xml:space="preserve">) hazai és nemzetközi </w:t>
      </w:r>
      <w:r w:rsidR="00BB65F4">
        <w:rPr>
          <w:lang w:val="hu-HU"/>
        </w:rPr>
        <w:t xml:space="preserve">posztdoktori </w:t>
      </w:r>
      <w:r w:rsidRPr="00BB65F4">
        <w:rPr>
          <w:lang w:val="hu-HU"/>
        </w:rPr>
        <w:t>pál</w:t>
      </w:r>
      <w:r w:rsidR="00776A22" w:rsidRPr="00BB65F4">
        <w:rPr>
          <w:lang w:val="hu-HU"/>
        </w:rPr>
        <w:t>yázat is. Ha a tudományterület jellege indokolja, a</w:t>
      </w:r>
      <w:r w:rsidR="005D71FC" w:rsidRPr="00BB65F4">
        <w:rPr>
          <w:lang w:val="hu-HU"/>
        </w:rPr>
        <w:t>z FSZ</w:t>
      </w:r>
      <w:r w:rsidRPr="00BB65F4">
        <w:rPr>
          <w:lang w:val="hu-HU"/>
        </w:rPr>
        <w:t>HB felmentést adhat a pályázati mutató teljesítése alól.</w:t>
      </w:r>
    </w:p>
    <w:p w:rsidR="00C90E3C" w:rsidRPr="00BB65F4" w:rsidRDefault="00C90E3C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BB65F4" w:rsidRDefault="003C697C" w:rsidP="00DE1FAC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i/>
          <w:sz w:val="24"/>
          <w:szCs w:val="24"/>
          <w:lang w:val="hu-HU"/>
        </w:rPr>
        <w:t>III. Az életpálya során kifejtett oktatói és előadói működés teljesítménymutatói</w:t>
      </w:r>
    </w:p>
    <w:p w:rsidR="005621DF" w:rsidRPr="00BB65F4" w:rsidRDefault="00517FFB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65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97782" w:rsidRPr="00BB65F4">
        <w:rPr>
          <w:rFonts w:ascii="Times New Roman" w:hAnsi="Times New Roman" w:cs="Times New Roman"/>
          <w:sz w:val="24"/>
          <w:szCs w:val="24"/>
          <w:lang w:val="hu-HU"/>
        </w:rPr>
        <w:t>Az FSZHB a habilitáci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ót kérelmezők oktatási tevékenységét a kutatási teljesítménnyel</w:t>
      </w:r>
      <w:r w:rsidR="00D97782" w:rsidRPr="00BB65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BB65F4">
        <w:rPr>
          <w:rFonts w:ascii="Times New Roman" w:hAnsi="Times New Roman" w:cs="Times New Roman"/>
          <w:sz w:val="24"/>
          <w:szCs w:val="24"/>
          <w:lang w:val="hu-HU"/>
        </w:rPr>
        <w:t>egyenértékűnek várja. A habilitációs eljárás megindítását az alábbi minimum-feltétel teljesüléséhez köti:</w:t>
      </w:r>
    </w:p>
    <w:p w:rsidR="005621DF" w:rsidRPr="00BB65F4" w:rsidRDefault="003C697C" w:rsidP="00DE1FAC">
      <w:pPr>
        <w:pStyle w:val="Irodalom"/>
        <w:numPr>
          <w:ilvl w:val="0"/>
          <w:numId w:val="7"/>
        </w:numPr>
        <w:jc w:val="both"/>
        <w:rPr>
          <w:lang w:val="hu-HU"/>
        </w:rPr>
      </w:pPr>
      <w:r w:rsidRPr="00BB65F4">
        <w:rPr>
          <w:lang w:val="hu-HU"/>
        </w:rPr>
        <w:t xml:space="preserve">Legalább </w:t>
      </w:r>
      <w:r w:rsidR="00630A09" w:rsidRPr="00BB65F4">
        <w:rPr>
          <w:lang w:val="hu-HU"/>
        </w:rPr>
        <w:t>8</w:t>
      </w:r>
      <w:r w:rsidRPr="00BB65F4">
        <w:rPr>
          <w:lang w:val="hu-HU"/>
        </w:rPr>
        <w:t xml:space="preserve"> szemeszter felsőoktatási, a tanrendben szereplő és megtartott oktatási</w:t>
      </w:r>
      <w:r w:rsidR="00D97782" w:rsidRPr="00BB65F4">
        <w:rPr>
          <w:lang w:val="hu-HU"/>
        </w:rPr>
        <w:t xml:space="preserve"> </w:t>
      </w:r>
      <w:r w:rsidRPr="00BB65F4">
        <w:rPr>
          <w:lang w:val="hu-HU"/>
        </w:rPr>
        <w:t>tevékenység (egyéb tevékenységgel nem váltható ki)</w:t>
      </w:r>
      <w:r w:rsidR="00D97782" w:rsidRPr="00BB65F4">
        <w:rPr>
          <w:lang w:val="hu-HU"/>
        </w:rPr>
        <w:t>;</w:t>
      </w:r>
    </w:p>
    <w:p w:rsidR="005621DF" w:rsidRPr="00BB65F4" w:rsidRDefault="003C697C" w:rsidP="00DE1FAC">
      <w:pPr>
        <w:pStyle w:val="Irodalom"/>
        <w:numPr>
          <w:ilvl w:val="0"/>
          <w:numId w:val="7"/>
        </w:numPr>
        <w:jc w:val="both"/>
        <w:rPr>
          <w:lang w:val="hu-HU"/>
        </w:rPr>
      </w:pPr>
      <w:r w:rsidRPr="00BB65F4">
        <w:rPr>
          <w:lang w:val="hu-HU"/>
        </w:rPr>
        <w:t>Legalább 1 hallgató eredményesen befejezett szakdolgozói</w:t>
      </w:r>
      <w:r w:rsidR="0067274C" w:rsidRPr="00BB65F4">
        <w:rPr>
          <w:lang w:val="hu-HU"/>
        </w:rPr>
        <w:t>, diplomamunkás</w:t>
      </w:r>
      <w:r w:rsidRPr="00BB65F4">
        <w:rPr>
          <w:lang w:val="hu-HU"/>
        </w:rPr>
        <w:t xml:space="preserve"> vagy doktori tevékenységének vezetése (egyéb tevékenységgel nem váltható ki)</w:t>
      </w:r>
      <w:r w:rsidR="00D97782" w:rsidRPr="00BB65F4">
        <w:rPr>
          <w:lang w:val="hu-HU"/>
        </w:rPr>
        <w:t>;</w:t>
      </w:r>
    </w:p>
    <w:p w:rsidR="00C90E3C" w:rsidRPr="00C90E3C" w:rsidRDefault="005621D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ab/>
      </w:r>
    </w:p>
    <w:p w:rsidR="003C697C" w:rsidRPr="00C90E3C" w:rsidRDefault="00630A09" w:rsidP="00DE1FAC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90E3C"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 xml:space="preserve">IV. Az </w:t>
      </w:r>
      <w:r w:rsidRPr="00BB65F4">
        <w:rPr>
          <w:rFonts w:ascii="Times New Roman" w:hAnsi="Times New Roman" w:cs="Times New Roman"/>
          <w:i/>
          <w:sz w:val="24"/>
          <w:szCs w:val="24"/>
          <w:lang w:val="hu-HU"/>
        </w:rPr>
        <w:t>EHSZ</w:t>
      </w:r>
      <w:r w:rsidR="0006781E" w:rsidRPr="00BB65F4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BB65F4">
        <w:rPr>
          <w:rFonts w:ascii="Times New Roman" w:hAnsi="Times New Roman" w:cs="Times New Roman"/>
          <w:i/>
          <w:sz w:val="24"/>
          <w:szCs w:val="24"/>
          <w:lang w:val="hu-HU"/>
        </w:rPr>
        <w:t>25</w:t>
      </w:r>
      <w:r w:rsidR="003C697C" w:rsidRPr="00BB65F4">
        <w:rPr>
          <w:rFonts w:ascii="Times New Roman" w:hAnsi="Times New Roman" w:cs="Times New Roman"/>
          <w:i/>
          <w:sz w:val="24"/>
          <w:szCs w:val="24"/>
          <w:lang w:val="hu-HU"/>
        </w:rPr>
        <w:t>. paragrafusában</w:t>
      </w:r>
      <w:r w:rsidR="003C697C" w:rsidRPr="00C90E3C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szereplő egyéb bírálati szempontok értelmezése, a</w:t>
      </w:r>
      <w:r w:rsidR="00517FFB" w:rsidRPr="00C90E3C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3C697C" w:rsidRPr="00C90E3C">
        <w:rPr>
          <w:rFonts w:ascii="Times New Roman" w:hAnsi="Times New Roman" w:cs="Times New Roman"/>
          <w:i/>
          <w:sz w:val="24"/>
          <w:szCs w:val="24"/>
          <w:lang w:val="hu-HU"/>
        </w:rPr>
        <w:t>teljesítmény számszerűsítése nélkül</w:t>
      </w:r>
    </w:p>
    <w:p w:rsidR="003C697C" w:rsidRPr="00EE0A0D" w:rsidRDefault="008C322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c) Tudományos ismereteinek átfogó jellege</w:t>
      </w:r>
    </w:p>
    <w:p w:rsidR="003C697C" w:rsidRPr="00EE0A0D" w:rsidRDefault="008C322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A pályázó szakirodalmi alkotó, valamint okta</w:t>
      </w:r>
      <w:r>
        <w:rPr>
          <w:rFonts w:ascii="Times New Roman" w:hAnsi="Times New Roman" w:cs="Times New Roman"/>
          <w:sz w:val="24"/>
          <w:szCs w:val="24"/>
          <w:lang w:val="hu-HU"/>
        </w:rPr>
        <w:t>tói tevékenységének spektruma (fi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zikán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belüli tudományos irányok), multidiszciplináris kutatásokban, illetve oktatási programok</w:t>
      </w:r>
      <w:r w:rsidR="000E66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kidolgozásában és megvalósításában való részvétele vizsgálandó meg a pályázati anyag</w:t>
      </w:r>
      <w:r w:rsidR="000E66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alapján.</w:t>
      </w:r>
    </w:p>
    <w:p w:rsidR="003C697C" w:rsidRPr="00EE0A0D" w:rsidRDefault="008C322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d) A szakmai és egyetemi (kari) közéletben való részvétel</w:t>
      </w:r>
    </w:p>
    <w:p w:rsidR="003C697C" w:rsidRPr="00EE0A0D" w:rsidRDefault="008C322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A III. mellékletben adott felsorolás tekinthető a felsőoktatás szempontjából közvetlen</w:t>
      </w:r>
      <w:r w:rsidR="000E66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értékhordozó közéleti tevékenységként.</w:t>
      </w:r>
    </w:p>
    <w:p w:rsidR="003C697C" w:rsidRPr="00EE0A0D" w:rsidRDefault="00C90E3C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f) A kérelemben megjelölt nyilvános előadásban felajánlott témáknak rendszerük,</w:t>
      </w:r>
      <w:r w:rsidR="008C32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tárgyalási módjuk alapján a kar (szak) képzési rendjéhez való illeszkedése</w:t>
      </w:r>
    </w:p>
    <w:p w:rsidR="003C697C" w:rsidRPr="00EE0A0D" w:rsidRDefault="008C322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</w:t>
      </w:r>
      <w:r w:rsidR="005D71FC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 xml:space="preserve"> FSZHB elvárja, hogy legalább egy téma valamely egyetemi vagy főiskolai szak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képesítési követelményeiben megnevezett fizikai ismeretanyag bemutatását ajánlja fel. Speciális előadási jellegű témáknál az előadási kivonat foglalja össze az előzetesen feltételezett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EE0A0D">
        <w:rPr>
          <w:rFonts w:ascii="Times New Roman" w:hAnsi="Times New Roman" w:cs="Times New Roman"/>
          <w:sz w:val="24"/>
          <w:szCs w:val="24"/>
          <w:lang w:val="hu-HU"/>
        </w:rPr>
        <w:t>ismereteket.</w:t>
      </w:r>
    </w:p>
    <w:p w:rsidR="003C697C" w:rsidRPr="00EE0A0D" w:rsidRDefault="008C322F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C697C" w:rsidRPr="000A39F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D71FC" w:rsidRPr="000A39F2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3C697C" w:rsidRPr="000A39F2">
        <w:rPr>
          <w:rFonts w:ascii="Times New Roman" w:hAnsi="Times New Roman" w:cs="Times New Roman"/>
          <w:sz w:val="24"/>
          <w:szCs w:val="24"/>
          <w:lang w:val="hu-HU"/>
        </w:rPr>
        <w:t xml:space="preserve"> FSZHB habilitációs előadásként csak az alapképzési</w:t>
      </w:r>
      <w:r w:rsidR="0067274C" w:rsidRPr="000A39F2">
        <w:rPr>
          <w:rFonts w:ascii="Times New Roman" w:hAnsi="Times New Roman" w:cs="Times New Roman"/>
          <w:sz w:val="24"/>
          <w:szCs w:val="24"/>
          <w:lang w:val="hu-HU"/>
        </w:rPr>
        <w:t>, mesterképzési</w:t>
      </w:r>
      <w:r w:rsidR="003C697C" w:rsidRPr="000A39F2">
        <w:rPr>
          <w:rFonts w:ascii="Times New Roman" w:hAnsi="Times New Roman" w:cs="Times New Roman"/>
          <w:sz w:val="24"/>
          <w:szCs w:val="24"/>
          <w:lang w:val="hu-HU"/>
        </w:rPr>
        <w:t xml:space="preserve"> vagy doktori iskolai tanrendbe</w:t>
      </w:r>
      <w:r w:rsidRPr="000A39F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97C" w:rsidRPr="000A39F2">
        <w:rPr>
          <w:rFonts w:ascii="Times New Roman" w:hAnsi="Times New Roman" w:cs="Times New Roman"/>
          <w:sz w:val="24"/>
          <w:szCs w:val="24"/>
          <w:lang w:val="hu-HU"/>
        </w:rPr>
        <w:t>felvett, kötelező vagy speciális előadás keretében, hallgatók előtt megtartott előadás véleményezését vállalja. A</w:t>
      </w:r>
      <w:r w:rsidR="003C697C" w:rsidRPr="000A39F2">
        <w:rPr>
          <w:rFonts w:ascii="Times New Roman" w:hAnsi="Times New Roman" w:cs="Times New Roman"/>
          <w:strike/>
          <w:sz w:val="24"/>
          <w:szCs w:val="24"/>
          <w:lang w:val="hu-HU"/>
        </w:rPr>
        <w:t>z</w:t>
      </w:r>
      <w:r w:rsidR="0067274C" w:rsidRPr="000A39F2">
        <w:rPr>
          <w:rFonts w:ascii="Times New Roman" w:hAnsi="Times New Roman" w:cs="Times New Roman"/>
          <w:sz w:val="24"/>
          <w:szCs w:val="24"/>
          <w:lang w:val="hu-HU"/>
        </w:rPr>
        <w:t xml:space="preserve"> megfelelő</w:t>
      </w:r>
      <w:r w:rsidR="003C697C" w:rsidRPr="000A39F2">
        <w:rPr>
          <w:rFonts w:ascii="Times New Roman" w:hAnsi="Times New Roman" w:cs="Times New Roman"/>
          <w:sz w:val="24"/>
          <w:szCs w:val="24"/>
          <w:lang w:val="hu-HU"/>
        </w:rPr>
        <w:t xml:space="preserve"> előadás-sorozatnak a habilitációs eljárás időszakában történő</w:t>
      </w:r>
      <w:r w:rsidRPr="000A39F2">
        <w:rPr>
          <w:rFonts w:ascii="Times New Roman" w:hAnsi="Times New Roman" w:cs="Times New Roman"/>
          <w:sz w:val="24"/>
          <w:szCs w:val="24"/>
          <w:lang w:val="hu-HU"/>
        </w:rPr>
        <w:t xml:space="preserve"> tanrendbe v</w:t>
      </w:r>
      <w:r w:rsidR="003C697C" w:rsidRPr="000A39F2">
        <w:rPr>
          <w:rFonts w:ascii="Times New Roman" w:hAnsi="Times New Roman" w:cs="Times New Roman"/>
          <w:sz w:val="24"/>
          <w:szCs w:val="24"/>
          <w:lang w:val="hu-HU"/>
        </w:rPr>
        <w:t>ételéről a jelölt köteles gondoskodni.</w:t>
      </w:r>
    </w:p>
    <w:p w:rsidR="003C697C" w:rsidRPr="00EE0A0D" w:rsidRDefault="003C697C" w:rsidP="00DE1F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EE0A0D" w:rsidRDefault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EE0A0D" w:rsidRDefault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EE0A0D" w:rsidRDefault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EE0A0D" w:rsidRDefault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97D79" w:rsidRDefault="00397D7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AE576C" w:rsidRDefault="003C697C" w:rsidP="003C697C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E576C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I. melléklet</w:t>
      </w:r>
    </w:p>
    <w:p w:rsidR="003C697C" w:rsidRPr="00397D79" w:rsidRDefault="003C697C" w:rsidP="003C697C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97D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tudományos </w:t>
      </w:r>
      <w:r w:rsidR="00397D79" w:rsidRPr="00397D79">
        <w:rPr>
          <w:rFonts w:ascii="Times New Roman" w:hAnsi="Times New Roman" w:cs="Times New Roman"/>
          <w:b/>
          <w:sz w:val="24"/>
          <w:szCs w:val="24"/>
          <w:lang w:val="hu-HU"/>
        </w:rPr>
        <w:t>produktivitás</w:t>
      </w:r>
      <w:r w:rsidRPr="00397D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típusai [egyezményes relatív súlyuk]</w:t>
      </w:r>
    </w:p>
    <w:p w:rsidR="00C655DE" w:rsidRDefault="00112A14">
      <w:pPr>
        <w:pStyle w:val="Irodalom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Tudományos cikk</w:t>
      </w:r>
      <w:r w:rsidR="003C697C" w:rsidRPr="00EE0A0D">
        <w:rPr>
          <w:lang w:val="hu-HU"/>
        </w:rPr>
        <w:t>, amely a habilitáció alapjául szolgáló tudományos</w:t>
      </w:r>
      <w:r w:rsidR="00C04CE5">
        <w:rPr>
          <w:lang w:val="hu-HU"/>
        </w:rPr>
        <w:t xml:space="preserve"> </w:t>
      </w:r>
      <w:r w:rsidR="003C697C" w:rsidRPr="00EE0A0D">
        <w:rPr>
          <w:lang w:val="hu-HU"/>
        </w:rPr>
        <w:t xml:space="preserve">tevékenység része, és az alábbi </w:t>
      </w:r>
      <w:r w:rsidR="00BB65F4">
        <w:rPr>
          <w:lang w:val="hu-HU"/>
        </w:rPr>
        <w:t>listák</w:t>
      </w:r>
      <w:r w:rsidR="003C697C" w:rsidRPr="00BB65F4">
        <w:rPr>
          <w:lang w:val="hu-HU"/>
        </w:rPr>
        <w:t xml:space="preserve"> </w:t>
      </w:r>
      <w:r w:rsidR="002C55EE" w:rsidRPr="00BB65F4">
        <w:rPr>
          <w:lang w:val="hu-HU"/>
        </w:rPr>
        <w:t>valamelyikén indexelt</w:t>
      </w:r>
      <w:r w:rsidR="002C55EE">
        <w:rPr>
          <w:lang w:val="hu-HU"/>
        </w:rPr>
        <w:t xml:space="preserve"> </w:t>
      </w:r>
      <w:r w:rsidR="003C697C" w:rsidRPr="00EE0A0D">
        <w:rPr>
          <w:lang w:val="hu-HU"/>
        </w:rPr>
        <w:t>referált folyóiratban jelent meg: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Science Citation Index,</w:t>
      </w:r>
    </w:p>
    <w:p w:rsidR="00C655DE" w:rsidRDefault="006A7F2F">
      <w:pPr>
        <w:pStyle w:val="Irodalom"/>
        <w:numPr>
          <w:ilvl w:val="1"/>
          <w:numId w:val="16"/>
        </w:numPr>
        <w:jc w:val="both"/>
      </w:pPr>
      <w:r w:rsidRPr="000A39F2">
        <w:t>Astro</w:t>
      </w:r>
      <w:r w:rsidR="00A7070D" w:rsidRPr="000A39F2">
        <w:t>physics</w:t>
      </w:r>
      <w:r w:rsidRPr="000A39F2">
        <w:t xml:space="preserve"> Data System</w:t>
      </w:r>
      <w:r w:rsidR="00A7070D" w:rsidRPr="000A39F2">
        <w:t xml:space="preserve"> (ADS)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Biochemistry and Biophysics Citation Index,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Biotechnology Citation Index,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Chemistry Citation Index,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CompuMath Citation Index,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Materials Science Citation Index,</w:t>
      </w:r>
    </w:p>
    <w:p w:rsidR="00C655DE" w:rsidRDefault="003C697C">
      <w:pPr>
        <w:pStyle w:val="Irodalom"/>
        <w:numPr>
          <w:ilvl w:val="1"/>
          <w:numId w:val="16"/>
        </w:numPr>
        <w:jc w:val="both"/>
      </w:pPr>
      <w:r w:rsidRPr="002D05EF">
        <w:t>Neuro Science Citation Index,</w:t>
      </w:r>
    </w:p>
    <w:p w:rsidR="00C655DE" w:rsidRDefault="003C697C">
      <w:pPr>
        <w:pStyle w:val="Irodalom"/>
        <w:numPr>
          <w:ilvl w:val="1"/>
          <w:numId w:val="16"/>
        </w:numPr>
        <w:jc w:val="both"/>
        <w:rPr>
          <w:lang w:val="hu-HU"/>
        </w:rPr>
      </w:pPr>
      <w:r w:rsidRPr="002D05EF">
        <w:t>Social Sciences Citation Index</w:t>
      </w:r>
    </w:p>
    <w:p w:rsidR="00C655DE" w:rsidRDefault="00C04CE5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EE0A0D">
        <w:rPr>
          <w:lang w:val="hu-HU"/>
        </w:rPr>
        <w:t>Magyar nyelvű</w:t>
      </w:r>
      <w:r w:rsidR="003C697C" w:rsidRPr="00EE0A0D">
        <w:rPr>
          <w:lang w:val="hu-HU"/>
        </w:rPr>
        <w:t xml:space="preserve"> szakmai cikk (a fizika eredményeinek szakmai körökben történő elterjesztését szolgáló publikáció) [0,5]</w:t>
      </w:r>
    </w:p>
    <w:p w:rsidR="00C655DE" w:rsidRDefault="003C697C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4707F3">
        <w:rPr>
          <w:lang w:val="hu-HU"/>
        </w:rPr>
        <w:t>Tudományos népszerűsítő cikk [0,2]</w:t>
      </w:r>
    </w:p>
    <w:p w:rsidR="00C655DE" w:rsidRDefault="003C697C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4707F3">
        <w:rPr>
          <w:lang w:val="hu-HU"/>
        </w:rPr>
        <w:t>Nemzetközi konferenciák kiadványában és intézeti kiadványokban megjelent cikk (tartalmi kivonat nem szerepeltethető) [0,3]. Amennyiben azonban a pályázó meggyőzően</w:t>
      </w:r>
      <w:r w:rsidR="00C04CE5" w:rsidRPr="004707F3">
        <w:rPr>
          <w:lang w:val="hu-HU"/>
        </w:rPr>
        <w:t xml:space="preserve"> dokumentálja a kiadvány </w:t>
      </w:r>
      <w:r w:rsidR="00C04CE5" w:rsidRPr="004707F3">
        <w:rPr>
          <w:i/>
          <w:lang w:val="hu-HU"/>
        </w:rPr>
        <w:t>peer r</w:t>
      </w:r>
      <w:r w:rsidR="00776A22">
        <w:rPr>
          <w:i/>
          <w:lang w:val="hu-HU"/>
        </w:rPr>
        <w:t>ev</w:t>
      </w:r>
      <w:r w:rsidRPr="004707F3">
        <w:rPr>
          <w:i/>
          <w:lang w:val="hu-HU"/>
        </w:rPr>
        <w:t>ie</w:t>
      </w:r>
      <w:r w:rsidR="00776A22">
        <w:rPr>
          <w:i/>
          <w:lang w:val="hu-HU"/>
        </w:rPr>
        <w:t>w</w:t>
      </w:r>
      <w:r w:rsidRPr="004707F3">
        <w:rPr>
          <w:lang w:val="hu-HU"/>
        </w:rPr>
        <w:t xml:space="preserve"> által </w:t>
      </w:r>
      <w:r w:rsidR="00C04CE5" w:rsidRPr="004707F3">
        <w:rPr>
          <w:lang w:val="hu-HU"/>
        </w:rPr>
        <w:t>kontrollált</w:t>
      </w:r>
      <w:r w:rsidRPr="004707F3">
        <w:rPr>
          <w:lang w:val="hu-HU"/>
        </w:rPr>
        <w:t xml:space="preserve"> magas színvonalát, a Szakterületi</w:t>
      </w:r>
      <w:r w:rsidR="00C04CE5" w:rsidRPr="004707F3">
        <w:rPr>
          <w:lang w:val="hu-HU"/>
        </w:rPr>
        <w:t xml:space="preserve"> </w:t>
      </w:r>
      <w:r w:rsidRPr="004707F3">
        <w:rPr>
          <w:lang w:val="hu-HU"/>
        </w:rPr>
        <w:t>Habilitációs Bizottság egyedi mérlegelés alapján a megjelent dolgozatot maximálisa</w:t>
      </w:r>
      <w:r w:rsidR="00C04CE5" w:rsidRPr="004707F3">
        <w:rPr>
          <w:lang w:val="hu-HU"/>
        </w:rPr>
        <w:t xml:space="preserve">n </w:t>
      </w:r>
      <w:r w:rsidRPr="004707F3">
        <w:rPr>
          <w:lang w:val="hu-HU"/>
        </w:rPr>
        <w:t>1 egységnek is elfogadhatja.</w:t>
      </w:r>
    </w:p>
    <w:p w:rsidR="00C655DE" w:rsidRDefault="00C04CE5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4707F3">
        <w:rPr>
          <w:lang w:val="hu-HU"/>
        </w:rPr>
        <w:t>Idegen nyelvű</w:t>
      </w:r>
      <w:r w:rsidR="003C697C" w:rsidRPr="004707F3">
        <w:rPr>
          <w:lang w:val="hu-HU"/>
        </w:rPr>
        <w:t xml:space="preserve"> összefoglaló tudományos könyv (monográfia) [7]</w:t>
      </w:r>
    </w:p>
    <w:p w:rsidR="00C655DE" w:rsidRDefault="00C04CE5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4707F3">
        <w:rPr>
          <w:lang w:val="hu-HU"/>
        </w:rPr>
        <w:t>Idegen nyelvű</w:t>
      </w:r>
      <w:r w:rsidR="003C697C" w:rsidRPr="004707F3">
        <w:rPr>
          <w:lang w:val="hu-HU"/>
        </w:rPr>
        <w:t xml:space="preserve"> </w:t>
      </w:r>
      <w:r w:rsidR="003C697C" w:rsidRPr="000A39F2">
        <w:rPr>
          <w:lang w:val="hu-HU"/>
        </w:rPr>
        <w:t>szerkesztett mű fejezete [</w:t>
      </w:r>
      <w:r w:rsidR="00CC6DD3" w:rsidRPr="000A39F2">
        <w:rPr>
          <w:lang w:val="hu-HU"/>
        </w:rPr>
        <w:t>3</w:t>
      </w:r>
      <w:r w:rsidR="003C697C" w:rsidRPr="000A39F2">
        <w:rPr>
          <w:lang w:val="hu-HU"/>
        </w:rPr>
        <w:t>]</w:t>
      </w:r>
    </w:p>
    <w:p w:rsidR="00C655DE" w:rsidRDefault="003C697C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4707F3">
        <w:rPr>
          <w:lang w:val="hu-HU"/>
        </w:rPr>
        <w:t>Magyar nyelvű szakkönyv, egyetemi tankönyv [3]</w:t>
      </w:r>
    </w:p>
    <w:p w:rsidR="00C655DE" w:rsidRDefault="003C697C">
      <w:pPr>
        <w:pStyle w:val="Irodalom"/>
        <w:numPr>
          <w:ilvl w:val="0"/>
          <w:numId w:val="16"/>
        </w:numPr>
        <w:jc w:val="both"/>
        <w:rPr>
          <w:lang w:val="hu-HU"/>
        </w:rPr>
      </w:pPr>
      <w:r w:rsidRPr="004707F3">
        <w:rPr>
          <w:lang w:val="hu-HU"/>
        </w:rPr>
        <w:t>Fizikai alapjelenségre épülő, hasznosított találmány [2+ minden 2 MFt jogdíj után</w:t>
      </w:r>
      <w:r w:rsidR="00C04CE5" w:rsidRPr="004707F3">
        <w:rPr>
          <w:lang w:val="hu-HU"/>
        </w:rPr>
        <w:t xml:space="preserve"> </w:t>
      </w:r>
      <w:r w:rsidRPr="004707F3">
        <w:rPr>
          <w:lang w:val="hu-HU"/>
        </w:rPr>
        <w:t>további 2-2 egység]</w:t>
      </w:r>
    </w:p>
    <w:p w:rsidR="0022618A" w:rsidRPr="00EE0A0D" w:rsidRDefault="0022618A" w:rsidP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E576C" w:rsidRPr="00AE576C" w:rsidRDefault="003C697C" w:rsidP="003C697C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E576C">
        <w:rPr>
          <w:rFonts w:ascii="Times New Roman" w:hAnsi="Times New Roman" w:cs="Times New Roman"/>
          <w:b/>
          <w:sz w:val="24"/>
          <w:szCs w:val="24"/>
          <w:lang w:val="hu-HU"/>
        </w:rPr>
        <w:t>II. melléklet</w:t>
      </w:r>
    </w:p>
    <w:p w:rsidR="003C697C" w:rsidRPr="00EE0A0D" w:rsidRDefault="003C697C" w:rsidP="003C697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E576C">
        <w:rPr>
          <w:rFonts w:ascii="Times New Roman" w:hAnsi="Times New Roman" w:cs="Times New Roman"/>
          <w:b/>
          <w:sz w:val="24"/>
          <w:szCs w:val="24"/>
          <w:lang w:val="hu-HU"/>
        </w:rPr>
        <w:t>A habilitációs kérelemben dokumentálható oktatási alkotások</w:t>
      </w:r>
      <w:r w:rsidR="00AE576C" w:rsidRPr="00AE57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AE576C">
        <w:rPr>
          <w:rFonts w:ascii="Times New Roman" w:hAnsi="Times New Roman" w:cs="Times New Roman"/>
          <w:b/>
          <w:sz w:val="24"/>
          <w:szCs w:val="24"/>
          <w:lang w:val="hu-HU"/>
        </w:rPr>
        <w:t>és tevékenységek listája [egyezményes relatív súlyuk]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>Doktori iskolai, egyetemi és főiskolai alapképzési</w:t>
      </w:r>
      <w:r w:rsidR="005D71FC">
        <w:rPr>
          <w:lang w:val="hu-HU"/>
        </w:rPr>
        <w:t>/mesterképzési</w:t>
      </w:r>
      <w:r w:rsidRPr="00EE0A0D">
        <w:rPr>
          <w:lang w:val="hu-HU"/>
        </w:rPr>
        <w:t xml:space="preserve"> tanrendi előadások és gyakorlati</w:t>
      </w:r>
      <w:r w:rsidR="001474D5">
        <w:rPr>
          <w:lang w:val="hu-HU"/>
        </w:rPr>
        <w:t xml:space="preserve"> </w:t>
      </w:r>
      <w:r w:rsidRPr="00EE0A0D">
        <w:rPr>
          <w:lang w:val="hu-HU"/>
        </w:rPr>
        <w:t>foglalkozás megtartása [szemeszterenként 2,5]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>Egyetemi jegyzet [5]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>Közoktatási tankönyv (rendszeres iskolai használatban) [5]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>Fizikai jelenség demonstrációs eszközének, felsőoktatási laboratóriumi gyakorló mérésnek és mérési segédletének megalkotása és működtetése felsőoktatási intézményben,</w:t>
      </w:r>
      <w:r w:rsidR="001474D5">
        <w:rPr>
          <w:lang w:val="hu-HU"/>
        </w:rPr>
        <w:t xml:space="preserve"> </w:t>
      </w:r>
      <w:r w:rsidRPr="00EE0A0D">
        <w:rPr>
          <w:lang w:val="hu-HU"/>
        </w:rPr>
        <w:t>illetve kihelyezett tanszéken [1]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>Országos díjat elnyerő TDK-dolgozat vezetése</w:t>
      </w:r>
      <w:r w:rsidR="001474D5">
        <w:rPr>
          <w:lang w:val="hu-HU"/>
        </w:rPr>
        <w:t>,</w:t>
      </w:r>
      <w:r w:rsidRPr="00EE0A0D">
        <w:rPr>
          <w:lang w:val="hu-HU"/>
        </w:rPr>
        <w:t xml:space="preserve"> témavezetése [1]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 xml:space="preserve">Eredményesen megvédett </w:t>
      </w:r>
      <w:r w:rsidR="005D71FC">
        <w:rPr>
          <w:lang w:val="hu-HU"/>
        </w:rPr>
        <w:t>szakdolgozat/</w:t>
      </w:r>
      <w:r w:rsidRPr="00EE0A0D">
        <w:rPr>
          <w:lang w:val="hu-HU"/>
        </w:rPr>
        <w:t>diplomamunka vezetése [2]</w:t>
      </w:r>
    </w:p>
    <w:p w:rsidR="003C697C" w:rsidRPr="00EE0A0D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EE0A0D">
        <w:rPr>
          <w:lang w:val="hu-HU"/>
        </w:rPr>
        <w:t xml:space="preserve">A fokozat megvédésével zárult PhD témavezetés </w:t>
      </w:r>
      <w:r w:rsidR="00A7124E">
        <w:rPr>
          <w:lang w:val="hu-HU"/>
        </w:rPr>
        <w:t>[3].</w:t>
      </w:r>
      <w:r w:rsidRPr="00EE0A0D">
        <w:rPr>
          <w:lang w:val="hu-HU"/>
        </w:rPr>
        <w:t xml:space="preserve"> Megosztott témavezetés</w:t>
      </w:r>
      <w:r w:rsidR="00A7124E">
        <w:rPr>
          <w:lang w:val="hu-HU"/>
        </w:rPr>
        <w:t xml:space="preserve"> </w:t>
      </w:r>
      <w:r w:rsidRPr="00EE0A0D">
        <w:rPr>
          <w:lang w:val="hu-HU"/>
        </w:rPr>
        <w:t>esetében az elfogadáshoz szükséges: a) a PhD fokozat követelményeinek teljesítéséért benyújtott legalább 2 cikkben való társzerzőség; b) a hivatalosan bejelentett</w:t>
      </w:r>
      <w:r w:rsidR="00A7124E">
        <w:rPr>
          <w:lang w:val="hu-HU"/>
        </w:rPr>
        <w:t xml:space="preserve"> </w:t>
      </w:r>
      <w:r w:rsidRPr="00EE0A0D">
        <w:rPr>
          <w:lang w:val="hu-HU"/>
        </w:rPr>
        <w:t xml:space="preserve">témavezetőnek a Szakterületi Doktori Tanács elnöke által ellenjegyzett </w:t>
      </w:r>
      <w:r w:rsidR="00A7124E" w:rsidRPr="00EE0A0D">
        <w:rPr>
          <w:lang w:val="hu-HU"/>
        </w:rPr>
        <w:t>nyilatkozata arról</w:t>
      </w:r>
      <w:r w:rsidRPr="00EE0A0D">
        <w:rPr>
          <w:lang w:val="hu-HU"/>
        </w:rPr>
        <w:t>, hogy az említett cikkekben leírt kutatómunka érdemi témavezetését a pályázó</w:t>
      </w:r>
      <w:r w:rsidR="00A7124E">
        <w:rPr>
          <w:lang w:val="hu-HU"/>
        </w:rPr>
        <w:t xml:space="preserve"> </w:t>
      </w:r>
      <w:r w:rsidRPr="00EE0A0D">
        <w:rPr>
          <w:lang w:val="hu-HU"/>
        </w:rPr>
        <w:t>végezte. Egy</w:t>
      </w:r>
      <w:r w:rsidR="00A7124E">
        <w:rPr>
          <w:lang w:val="hu-HU"/>
        </w:rPr>
        <w:t xml:space="preserve"> adott PhD fokozat témavezetése </w:t>
      </w:r>
      <w:r w:rsidRPr="00EE0A0D">
        <w:rPr>
          <w:lang w:val="hu-HU"/>
        </w:rPr>
        <w:t>csak egy habilitációs eljárás alapjául</w:t>
      </w:r>
      <w:r w:rsidR="00A7124E">
        <w:rPr>
          <w:lang w:val="hu-HU"/>
        </w:rPr>
        <w:t xml:space="preserve"> </w:t>
      </w:r>
      <w:r w:rsidRPr="00EE0A0D">
        <w:rPr>
          <w:lang w:val="hu-HU"/>
        </w:rPr>
        <w:t>szolgálhat.</w:t>
      </w:r>
    </w:p>
    <w:p w:rsidR="003C697C" w:rsidRDefault="003C697C" w:rsidP="00713FB4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713FB4">
        <w:rPr>
          <w:lang w:val="hu-HU"/>
        </w:rPr>
        <w:t>Hallgatók nyári szakmai gyakorlati fogadása külső kutató-fejlesztő intézetekben [1]</w:t>
      </w:r>
    </w:p>
    <w:p w:rsidR="00295685" w:rsidRPr="000A39F2" w:rsidRDefault="00295685" w:rsidP="00295685">
      <w:pPr>
        <w:pStyle w:val="Irodalom"/>
        <w:numPr>
          <w:ilvl w:val="0"/>
          <w:numId w:val="11"/>
        </w:numPr>
        <w:jc w:val="both"/>
        <w:rPr>
          <w:lang w:val="hu-HU"/>
        </w:rPr>
      </w:pPr>
      <w:r w:rsidRPr="000A39F2">
        <w:rPr>
          <w:lang w:val="hu-HU"/>
        </w:rPr>
        <w:t xml:space="preserve">A Fizikus Intézeti Tanács által elismert, a tehetséggondozásban kifejtett tevékenység </w:t>
      </w:r>
      <w:r w:rsidR="00BA5047" w:rsidRPr="000A39F2">
        <w:rPr>
          <w:lang w:val="hu-HU"/>
        </w:rPr>
        <w:t>[szemeszterenként 1]</w:t>
      </w:r>
    </w:p>
    <w:p w:rsidR="00A7124E" w:rsidRDefault="00A7124E" w:rsidP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C697C" w:rsidRPr="00A7124E" w:rsidRDefault="003C697C" w:rsidP="003C697C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7124E">
        <w:rPr>
          <w:rFonts w:ascii="Times New Roman" w:hAnsi="Times New Roman" w:cs="Times New Roman"/>
          <w:b/>
          <w:sz w:val="24"/>
          <w:szCs w:val="24"/>
          <w:lang w:val="hu-HU"/>
        </w:rPr>
        <w:t>III. melléklet</w:t>
      </w:r>
    </w:p>
    <w:p w:rsidR="003C697C" w:rsidRPr="00EE0A0D" w:rsidRDefault="003C697C" w:rsidP="003C697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7124E">
        <w:rPr>
          <w:rFonts w:ascii="Times New Roman" w:hAnsi="Times New Roman" w:cs="Times New Roman"/>
          <w:b/>
          <w:sz w:val="24"/>
          <w:szCs w:val="24"/>
          <w:lang w:val="hu-HU"/>
        </w:rPr>
        <w:t>A szakmai és egyetemi közéletben való részvétel formái</w:t>
      </w:r>
    </w:p>
    <w:p w:rsidR="003C697C" w:rsidRPr="00EE0A0D" w:rsidRDefault="00A7124E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Magyar illetve nemzetközi szakmai szervezet</w:t>
      </w:r>
      <w:r w:rsidR="003C697C" w:rsidRPr="00EE0A0D">
        <w:rPr>
          <w:lang w:val="hu-HU"/>
        </w:rPr>
        <w:t>beli tagság</w:t>
      </w:r>
    </w:p>
    <w:p w:rsidR="003C697C" w:rsidRPr="00EE0A0D" w:rsidRDefault="00A7124E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Magyar illetve nemzetközi szervezet</w:t>
      </w:r>
      <w:r w:rsidR="003C697C" w:rsidRPr="00EE0A0D">
        <w:rPr>
          <w:lang w:val="hu-HU"/>
        </w:rPr>
        <w:t>beli választott tisztség, továbbá e szervezetek által</w:t>
      </w:r>
      <w:r>
        <w:rPr>
          <w:lang w:val="hu-HU"/>
        </w:rPr>
        <w:t xml:space="preserve"> </w:t>
      </w:r>
      <w:r w:rsidR="003C697C" w:rsidRPr="00EE0A0D">
        <w:rPr>
          <w:lang w:val="hu-HU"/>
        </w:rPr>
        <w:t>rendezett tudományos konferenciák szervező bizottsági tagsága</w:t>
      </w:r>
    </w:p>
    <w:p w:rsidR="003C697C" w:rsidRPr="00EE0A0D" w:rsidRDefault="003C697C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 w:rsidRPr="00EE0A0D">
        <w:rPr>
          <w:lang w:val="hu-HU"/>
        </w:rPr>
        <w:t>MTA-bizottsági rendszerbeli tevékenység</w:t>
      </w:r>
    </w:p>
    <w:p w:rsidR="003C697C" w:rsidRPr="005D71FC" w:rsidRDefault="003C697C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 w:rsidRPr="00EE0A0D">
        <w:rPr>
          <w:lang w:val="hu-HU"/>
        </w:rPr>
        <w:t xml:space="preserve">Egyetemi </w:t>
      </w:r>
      <w:r w:rsidRPr="005D71FC">
        <w:rPr>
          <w:lang w:val="hu-HU"/>
        </w:rPr>
        <w:t>(kari,</w:t>
      </w:r>
      <w:r w:rsidR="007E0593" w:rsidRPr="005D71FC">
        <w:rPr>
          <w:lang w:val="hu-HU"/>
        </w:rPr>
        <w:t xml:space="preserve"> intézeti</w:t>
      </w:r>
      <w:r w:rsidR="00A7124E" w:rsidRPr="005D71FC">
        <w:rPr>
          <w:lang w:val="hu-HU"/>
        </w:rPr>
        <w:t>) testületekben</w:t>
      </w:r>
      <w:r w:rsidRPr="005D71FC">
        <w:rPr>
          <w:lang w:val="hu-HU"/>
        </w:rPr>
        <w:t xml:space="preserve"> tagság</w:t>
      </w:r>
    </w:p>
    <w:p w:rsidR="003C697C" w:rsidRPr="005D71FC" w:rsidRDefault="003C697C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 w:rsidRPr="005D71FC">
        <w:rPr>
          <w:lang w:val="hu-HU"/>
        </w:rPr>
        <w:t xml:space="preserve">Egyetemi (kari, </w:t>
      </w:r>
      <w:r w:rsidR="007E0593" w:rsidRPr="005D71FC">
        <w:rPr>
          <w:lang w:val="hu-HU"/>
        </w:rPr>
        <w:t>intézeti</w:t>
      </w:r>
      <w:r w:rsidRPr="005D71FC">
        <w:rPr>
          <w:lang w:val="hu-HU"/>
        </w:rPr>
        <w:t>) vezetői tisztség</w:t>
      </w:r>
    </w:p>
    <w:p w:rsidR="003C697C" w:rsidRPr="00EE0A0D" w:rsidRDefault="003C697C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 w:rsidRPr="00EE0A0D">
        <w:rPr>
          <w:lang w:val="hu-HU"/>
        </w:rPr>
        <w:t>Nemzetközi szervezetek által rendezett konferenciák hazai szervezése</w:t>
      </w:r>
    </w:p>
    <w:p w:rsidR="003C697C" w:rsidRPr="00EE0A0D" w:rsidRDefault="003C697C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 w:rsidRPr="00EE0A0D">
        <w:rPr>
          <w:lang w:val="hu-HU"/>
        </w:rPr>
        <w:t>Nemzetközi és hazai tudományos folyóiratok szerkesztő bizottsági tagsága</w:t>
      </w:r>
    </w:p>
    <w:p w:rsidR="003C697C" w:rsidRPr="00713FB4" w:rsidRDefault="003C697C" w:rsidP="00713FB4">
      <w:pPr>
        <w:pStyle w:val="Irodalom"/>
        <w:numPr>
          <w:ilvl w:val="0"/>
          <w:numId w:val="13"/>
        </w:numPr>
        <w:jc w:val="both"/>
        <w:rPr>
          <w:lang w:val="hu-HU"/>
        </w:rPr>
      </w:pPr>
      <w:r w:rsidRPr="00713FB4">
        <w:rPr>
          <w:lang w:val="hu-HU"/>
        </w:rPr>
        <w:t>Hazai tudományos népszerűsítő és szakmai szervezeti folyóiratok szerkesztő bizottsági</w:t>
      </w:r>
      <w:r w:rsidR="00A7124E" w:rsidRPr="00713FB4">
        <w:rPr>
          <w:lang w:val="hu-HU"/>
        </w:rPr>
        <w:t xml:space="preserve"> </w:t>
      </w:r>
      <w:r w:rsidRPr="00713FB4">
        <w:rPr>
          <w:lang w:val="hu-HU"/>
        </w:rPr>
        <w:t>tagsága</w:t>
      </w:r>
    </w:p>
    <w:p w:rsidR="003C697C" w:rsidRDefault="003C697C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3C697C" w:rsidSect="00494A7E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3D" w:rsidRDefault="0011063D" w:rsidP="000E6605">
      <w:pPr>
        <w:spacing w:after="0" w:line="240" w:lineRule="auto"/>
      </w:pPr>
      <w:r>
        <w:separator/>
      </w:r>
    </w:p>
  </w:endnote>
  <w:endnote w:type="continuationSeparator" w:id="0">
    <w:p w:rsidR="0011063D" w:rsidRDefault="0011063D" w:rsidP="000E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9932"/>
      <w:docPartObj>
        <w:docPartGallery w:val="Page Numbers (Bottom of Page)"/>
        <w:docPartUnique/>
      </w:docPartObj>
    </w:sdtPr>
    <w:sdtEndPr/>
    <w:sdtContent>
      <w:p w:rsidR="000E6605" w:rsidRDefault="0011063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605" w:rsidRDefault="000E66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3D" w:rsidRDefault="0011063D" w:rsidP="000E6605">
      <w:pPr>
        <w:spacing w:after="0" w:line="240" w:lineRule="auto"/>
      </w:pPr>
      <w:r>
        <w:separator/>
      </w:r>
    </w:p>
  </w:footnote>
  <w:footnote w:type="continuationSeparator" w:id="0">
    <w:p w:rsidR="0011063D" w:rsidRDefault="0011063D" w:rsidP="000E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36"/>
    <w:multiLevelType w:val="hybridMultilevel"/>
    <w:tmpl w:val="256056BC"/>
    <w:lvl w:ilvl="0" w:tplc="7D3AB936">
      <w:start w:val="1"/>
      <w:numFmt w:val="bullet"/>
      <w:lvlText w:val="-"/>
      <w:lvlJc w:val="left"/>
      <w:pPr>
        <w:ind w:left="27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24C"/>
    <w:multiLevelType w:val="hybridMultilevel"/>
    <w:tmpl w:val="8B0E1086"/>
    <w:lvl w:ilvl="0" w:tplc="0F860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491A"/>
    <w:multiLevelType w:val="hybridMultilevel"/>
    <w:tmpl w:val="3C5AC46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5D2A50"/>
    <w:multiLevelType w:val="hybridMultilevel"/>
    <w:tmpl w:val="85128AE2"/>
    <w:lvl w:ilvl="0" w:tplc="0F860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F064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443"/>
    <w:multiLevelType w:val="hybridMultilevel"/>
    <w:tmpl w:val="60D42C82"/>
    <w:lvl w:ilvl="0" w:tplc="0F860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43CB8"/>
    <w:multiLevelType w:val="hybridMultilevel"/>
    <w:tmpl w:val="FBEEA120"/>
    <w:lvl w:ilvl="0" w:tplc="0F860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007B"/>
    <w:multiLevelType w:val="hybridMultilevel"/>
    <w:tmpl w:val="85128AE2"/>
    <w:lvl w:ilvl="0" w:tplc="0F860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F064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6038"/>
    <w:multiLevelType w:val="hybridMultilevel"/>
    <w:tmpl w:val="97E6D288"/>
    <w:lvl w:ilvl="0" w:tplc="0F860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4D9"/>
    <w:multiLevelType w:val="hybridMultilevel"/>
    <w:tmpl w:val="ADC29CAE"/>
    <w:lvl w:ilvl="0" w:tplc="0F860286">
      <w:start w:val="1"/>
      <w:numFmt w:val="decimal"/>
      <w:pStyle w:val="Irodalom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1F6"/>
    <w:multiLevelType w:val="hybridMultilevel"/>
    <w:tmpl w:val="86C00B80"/>
    <w:lvl w:ilvl="0" w:tplc="F574163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"/>
    <w:lvlOverride w:ilvl="0">
      <w:lvl w:ilvl="0" w:tplc="0F860286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A"/>
    <w:rsid w:val="0004356C"/>
    <w:rsid w:val="00044086"/>
    <w:rsid w:val="0006781E"/>
    <w:rsid w:val="000776E0"/>
    <w:rsid w:val="00082E7D"/>
    <w:rsid w:val="00083C76"/>
    <w:rsid w:val="000A39F2"/>
    <w:rsid w:val="000A6CCE"/>
    <w:rsid w:val="000B7841"/>
    <w:rsid w:val="000E6605"/>
    <w:rsid w:val="000E7CF0"/>
    <w:rsid w:val="000F4DB4"/>
    <w:rsid w:val="0011063D"/>
    <w:rsid w:val="00112A14"/>
    <w:rsid w:val="0012209F"/>
    <w:rsid w:val="00132BAB"/>
    <w:rsid w:val="001474D5"/>
    <w:rsid w:val="0016647A"/>
    <w:rsid w:val="0016729F"/>
    <w:rsid w:val="001F041F"/>
    <w:rsid w:val="00203FF5"/>
    <w:rsid w:val="00211746"/>
    <w:rsid w:val="0022618A"/>
    <w:rsid w:val="00295685"/>
    <w:rsid w:val="002C55EE"/>
    <w:rsid w:val="002D05EF"/>
    <w:rsid w:val="002D7657"/>
    <w:rsid w:val="00313C8D"/>
    <w:rsid w:val="00321266"/>
    <w:rsid w:val="003927C3"/>
    <w:rsid w:val="00397D79"/>
    <w:rsid w:val="003A6EDD"/>
    <w:rsid w:val="003B6652"/>
    <w:rsid w:val="003C697C"/>
    <w:rsid w:val="00403771"/>
    <w:rsid w:val="00436C96"/>
    <w:rsid w:val="004707F3"/>
    <w:rsid w:val="00494A7E"/>
    <w:rsid w:val="004D27B2"/>
    <w:rsid w:val="00506B80"/>
    <w:rsid w:val="00517FFB"/>
    <w:rsid w:val="00532960"/>
    <w:rsid w:val="005621DF"/>
    <w:rsid w:val="0057663E"/>
    <w:rsid w:val="00581D2E"/>
    <w:rsid w:val="00591F30"/>
    <w:rsid w:val="005D017A"/>
    <w:rsid w:val="005D71FC"/>
    <w:rsid w:val="0062134E"/>
    <w:rsid w:val="00630A09"/>
    <w:rsid w:val="0067274C"/>
    <w:rsid w:val="006A7F2F"/>
    <w:rsid w:val="006B7A6E"/>
    <w:rsid w:val="006F7072"/>
    <w:rsid w:val="00710856"/>
    <w:rsid w:val="00713FB4"/>
    <w:rsid w:val="00753C54"/>
    <w:rsid w:val="007701AE"/>
    <w:rsid w:val="00773BA8"/>
    <w:rsid w:val="00776A22"/>
    <w:rsid w:val="0078572A"/>
    <w:rsid w:val="007B724F"/>
    <w:rsid w:val="007C7505"/>
    <w:rsid w:val="007E0593"/>
    <w:rsid w:val="00867D32"/>
    <w:rsid w:val="00870538"/>
    <w:rsid w:val="008B0AD3"/>
    <w:rsid w:val="008C322F"/>
    <w:rsid w:val="008C556E"/>
    <w:rsid w:val="008E7C54"/>
    <w:rsid w:val="00901C8A"/>
    <w:rsid w:val="00947049"/>
    <w:rsid w:val="009619C9"/>
    <w:rsid w:val="00966D00"/>
    <w:rsid w:val="00977FAF"/>
    <w:rsid w:val="00986610"/>
    <w:rsid w:val="009C764D"/>
    <w:rsid w:val="00A122BD"/>
    <w:rsid w:val="00A22CB8"/>
    <w:rsid w:val="00A23757"/>
    <w:rsid w:val="00A27B8D"/>
    <w:rsid w:val="00A468EA"/>
    <w:rsid w:val="00A61D35"/>
    <w:rsid w:val="00A7070D"/>
    <w:rsid w:val="00A7124E"/>
    <w:rsid w:val="00AD0937"/>
    <w:rsid w:val="00AE4CFF"/>
    <w:rsid w:val="00AE576C"/>
    <w:rsid w:val="00B06912"/>
    <w:rsid w:val="00B532F9"/>
    <w:rsid w:val="00B753C0"/>
    <w:rsid w:val="00B904CC"/>
    <w:rsid w:val="00BA5047"/>
    <w:rsid w:val="00BB65F4"/>
    <w:rsid w:val="00BD68B4"/>
    <w:rsid w:val="00BD6FD7"/>
    <w:rsid w:val="00C04A32"/>
    <w:rsid w:val="00C04CE5"/>
    <w:rsid w:val="00C16F79"/>
    <w:rsid w:val="00C21267"/>
    <w:rsid w:val="00C22DED"/>
    <w:rsid w:val="00C655DE"/>
    <w:rsid w:val="00C90E3C"/>
    <w:rsid w:val="00CC4219"/>
    <w:rsid w:val="00CC6DD3"/>
    <w:rsid w:val="00CE2544"/>
    <w:rsid w:val="00CE5C49"/>
    <w:rsid w:val="00CF3AD1"/>
    <w:rsid w:val="00D17868"/>
    <w:rsid w:val="00D23715"/>
    <w:rsid w:val="00D43783"/>
    <w:rsid w:val="00D7087E"/>
    <w:rsid w:val="00D878A7"/>
    <w:rsid w:val="00D97782"/>
    <w:rsid w:val="00DC496C"/>
    <w:rsid w:val="00DC67B4"/>
    <w:rsid w:val="00DE1FAC"/>
    <w:rsid w:val="00EA4277"/>
    <w:rsid w:val="00EC0D34"/>
    <w:rsid w:val="00ED5B6F"/>
    <w:rsid w:val="00EE0A0D"/>
    <w:rsid w:val="00F50DE8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201D-160D-49F3-B9DB-4E2D529A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3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E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6605"/>
  </w:style>
  <w:style w:type="paragraph" w:styleId="llb">
    <w:name w:val="footer"/>
    <w:basedOn w:val="Norml"/>
    <w:link w:val="llbChar"/>
    <w:uiPriority w:val="99"/>
    <w:unhideWhenUsed/>
    <w:rsid w:val="000E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6605"/>
  </w:style>
  <w:style w:type="paragraph" w:styleId="Listaszerbekezds">
    <w:name w:val="List Paragraph"/>
    <w:basedOn w:val="Norml"/>
    <w:uiPriority w:val="34"/>
    <w:qFormat/>
    <w:rsid w:val="00203FF5"/>
    <w:pPr>
      <w:ind w:left="720"/>
      <w:contextualSpacing/>
    </w:pPr>
  </w:style>
  <w:style w:type="paragraph" w:customStyle="1" w:styleId="Irodalom">
    <w:name w:val="Irodalom"/>
    <w:basedOn w:val="Norml"/>
    <w:rsid w:val="007701AE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1601-C0E8-43B2-9BFD-E7292E38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Csabai</dc:creator>
  <cp:keywords/>
  <dc:description/>
  <cp:lastModifiedBy>Bíró Éva</cp:lastModifiedBy>
  <cp:revision>2</cp:revision>
  <dcterms:created xsi:type="dcterms:W3CDTF">2016-10-18T12:22:00Z</dcterms:created>
  <dcterms:modified xsi:type="dcterms:W3CDTF">2016-10-18T12:22:00Z</dcterms:modified>
</cp:coreProperties>
</file>