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0E03" w14:textId="77777777" w:rsidR="00925BA9" w:rsidRDefault="00925BA9" w:rsidP="00925BA9">
      <w:pPr>
        <w:jc w:val="right"/>
      </w:pPr>
      <w:r>
        <w:t>TTK/4323/1 (2020)</w:t>
      </w:r>
    </w:p>
    <w:p w14:paraId="73553991" w14:textId="77777777" w:rsidR="00925BA9" w:rsidRDefault="00925BA9" w:rsidP="00925BA9"/>
    <w:p w14:paraId="278E5D86" w14:textId="77777777" w:rsidR="00925BA9" w:rsidRPr="00125A77" w:rsidRDefault="00925BA9" w:rsidP="00925BA9">
      <w:pPr>
        <w:ind w:left="10" w:hanging="10"/>
        <w:jc w:val="center"/>
        <w:rPr>
          <w:sz w:val="24"/>
          <w:szCs w:val="24"/>
        </w:rPr>
      </w:pPr>
    </w:p>
    <w:p w14:paraId="1BA69C3F" w14:textId="77E957D4" w:rsidR="00925BA9" w:rsidRPr="00125A77" w:rsidRDefault="00925BA9" w:rsidP="00925BA9">
      <w:pPr>
        <w:ind w:left="10" w:hanging="10"/>
        <w:jc w:val="center"/>
        <w:rPr>
          <w:sz w:val="24"/>
          <w:szCs w:val="24"/>
        </w:rPr>
      </w:pPr>
      <w:r w:rsidRPr="00125A77">
        <w:rPr>
          <w:sz w:val="24"/>
          <w:szCs w:val="24"/>
        </w:rPr>
        <w:t>3/2020. (03</w:t>
      </w:r>
      <w:r w:rsidR="009F7C4C">
        <w:rPr>
          <w:sz w:val="24"/>
          <w:szCs w:val="24"/>
        </w:rPr>
        <w:t>.15.</w:t>
      </w:r>
      <w:r w:rsidRPr="00125A77">
        <w:rPr>
          <w:sz w:val="24"/>
          <w:szCs w:val="24"/>
        </w:rPr>
        <w:t xml:space="preserve">) számú dékáni utasítás  </w:t>
      </w:r>
    </w:p>
    <w:p w14:paraId="61C4EA10" w14:textId="77777777" w:rsidR="00925BA9" w:rsidRPr="00125A77" w:rsidRDefault="00925BA9" w:rsidP="00925BA9">
      <w:pPr>
        <w:ind w:left="59"/>
        <w:jc w:val="center"/>
        <w:rPr>
          <w:sz w:val="24"/>
          <w:szCs w:val="24"/>
        </w:rPr>
      </w:pPr>
      <w:r w:rsidRPr="00125A77">
        <w:rPr>
          <w:sz w:val="24"/>
          <w:szCs w:val="24"/>
        </w:rPr>
        <w:t xml:space="preserve"> </w:t>
      </w:r>
    </w:p>
    <w:p w14:paraId="5A544519" w14:textId="700D83DF" w:rsidR="00925BA9" w:rsidRPr="00125A77" w:rsidRDefault="00925BA9" w:rsidP="00925BA9">
      <w:pPr>
        <w:ind w:left="626" w:right="496" w:hanging="10"/>
        <w:jc w:val="center"/>
        <w:rPr>
          <w:sz w:val="24"/>
          <w:szCs w:val="24"/>
        </w:rPr>
      </w:pPr>
      <w:r w:rsidRPr="00125A77">
        <w:rPr>
          <w:sz w:val="24"/>
          <w:szCs w:val="24"/>
        </w:rPr>
        <w:t>az Eötvös Loránd Tudományegyetem Természettudományi Karon 2020. március 23</w:t>
      </w:r>
      <w:r w:rsidR="009F7C4C">
        <w:rPr>
          <w:sz w:val="24"/>
          <w:szCs w:val="24"/>
        </w:rPr>
        <w:t>-</w:t>
      </w:r>
      <w:r w:rsidRPr="00125A77">
        <w:rPr>
          <w:sz w:val="24"/>
          <w:szCs w:val="24"/>
        </w:rPr>
        <w:t>tól kezdődő táv</w:t>
      </w:r>
      <w:r>
        <w:rPr>
          <w:sz w:val="24"/>
          <w:szCs w:val="24"/>
        </w:rPr>
        <w:t xml:space="preserve">olléti </w:t>
      </w:r>
      <w:r w:rsidRPr="00125A77">
        <w:rPr>
          <w:sz w:val="24"/>
          <w:szCs w:val="24"/>
        </w:rPr>
        <w:t xml:space="preserve">oktatás bevezetéséhez szükséges intézkedésekről </w:t>
      </w:r>
    </w:p>
    <w:p w14:paraId="6DEBAF63" w14:textId="77777777" w:rsidR="00925BA9" w:rsidRPr="00125A77" w:rsidRDefault="00925BA9" w:rsidP="00925BA9">
      <w:pPr>
        <w:rPr>
          <w:sz w:val="24"/>
          <w:szCs w:val="24"/>
        </w:rPr>
      </w:pPr>
      <w:r w:rsidRPr="00125A77">
        <w:rPr>
          <w:sz w:val="24"/>
          <w:szCs w:val="24"/>
        </w:rPr>
        <w:t xml:space="preserve"> </w:t>
      </w:r>
    </w:p>
    <w:p w14:paraId="05B46AF8" w14:textId="77777777" w:rsidR="00925BA9" w:rsidRPr="00125A77" w:rsidRDefault="00925BA9" w:rsidP="00925BA9">
      <w:pPr>
        <w:rPr>
          <w:sz w:val="24"/>
          <w:szCs w:val="24"/>
        </w:rPr>
      </w:pPr>
    </w:p>
    <w:p w14:paraId="75786543" w14:textId="77777777" w:rsidR="00925BA9" w:rsidRPr="00125A77" w:rsidRDefault="00925BA9" w:rsidP="00925BA9">
      <w:pPr>
        <w:ind w:left="-15"/>
        <w:jc w:val="both"/>
        <w:rPr>
          <w:sz w:val="24"/>
          <w:szCs w:val="24"/>
        </w:rPr>
      </w:pPr>
      <w:r w:rsidRPr="00125A77">
        <w:rPr>
          <w:sz w:val="24"/>
          <w:szCs w:val="24"/>
        </w:rPr>
        <w:t>Az Egyetem Szervezeti és Működési Szabályzat I. kötet (Szervezeti és Működési Rend) 3. § (5) bekezdésében foglalt felhatalmazás alapján, az ELTE Járványügyi Operatív Koordináló Testület (a JOKT) 2020. március 13-án, az új típusú koronavírus járványos terjedése miatt Magyarország Kormánya által kihirdetett veszélyhelyzet miatt szükséges intézményi kötelezettségek végrehajtásáról szóló tájékoztató (a továbbiakban JOKT Tájékoztató</w:t>
      </w:r>
      <w:r>
        <w:rPr>
          <w:rStyle w:val="Lbjegyzet-hivatkozs"/>
          <w:sz w:val="24"/>
          <w:szCs w:val="24"/>
        </w:rPr>
        <w:footnoteReference w:id="1"/>
      </w:r>
      <w:r w:rsidRPr="00125A77">
        <w:rPr>
          <w:sz w:val="24"/>
          <w:szCs w:val="24"/>
        </w:rPr>
        <w:t xml:space="preserve">) távolléti oktatásra vonatkozó rendelkezései Természettudományi Karon történő végrehajtása érdekében az alábbi utasítást adom ki: </w:t>
      </w:r>
    </w:p>
    <w:p w14:paraId="26D1ABE2" w14:textId="77777777" w:rsidR="00925BA9" w:rsidRPr="00125A77" w:rsidRDefault="00925BA9" w:rsidP="00925BA9">
      <w:pPr>
        <w:rPr>
          <w:sz w:val="24"/>
          <w:szCs w:val="24"/>
        </w:rPr>
      </w:pPr>
      <w:r w:rsidRPr="00125A77">
        <w:rPr>
          <w:sz w:val="24"/>
          <w:szCs w:val="24"/>
        </w:rPr>
        <w:t xml:space="preserve"> </w:t>
      </w:r>
    </w:p>
    <w:p w14:paraId="54BBD059" w14:textId="77777777" w:rsidR="00925BA9" w:rsidRDefault="00925BA9" w:rsidP="00925BA9">
      <w:pPr>
        <w:pStyle w:val="Listaszerbekezds"/>
        <w:numPr>
          <w:ilvl w:val="0"/>
          <w:numId w:val="6"/>
        </w:numPr>
        <w:spacing w:after="0" w:line="240" w:lineRule="auto"/>
        <w:ind w:hanging="2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620D">
        <w:rPr>
          <w:rFonts w:ascii="Times New Roman" w:eastAsia="Times New Roman" w:hAnsi="Times New Roman"/>
          <w:sz w:val="24"/>
          <w:szCs w:val="24"/>
          <w:lang w:eastAsia="hu-HU"/>
        </w:rPr>
        <w:t xml:space="preserve">A JOKT Tájékoztató I. 3. pontja alapján a Természettudományi Kar 2020. március 23-ától ellenkező rendelkezésig távolléti oktatásra áll át. A Kar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elsődleges </w:t>
      </w:r>
      <w:r w:rsidRPr="001A620D">
        <w:rPr>
          <w:rFonts w:ascii="Times New Roman" w:eastAsia="Times New Roman" w:hAnsi="Times New Roman"/>
          <w:sz w:val="24"/>
          <w:szCs w:val="24"/>
          <w:lang w:eastAsia="hu-HU"/>
        </w:rPr>
        <w:t xml:space="preserve">célja a távolléti oktatás során is a hallgatók támogatása a kurzusok teljesítésében,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ennek érdekében </w:t>
      </w:r>
      <w:r w:rsidRPr="001A620D">
        <w:rPr>
          <w:rFonts w:ascii="Times New Roman" w:eastAsia="Times New Roman" w:hAnsi="Times New Roman"/>
          <w:sz w:val="24"/>
          <w:szCs w:val="24"/>
          <w:lang w:eastAsia="hu-HU"/>
        </w:rPr>
        <w:t xml:space="preserve">az elektronikus tananyagok összeállítása/ kidolgozása, valamint a távolléti oktatás módszerének kiválasztása folyamán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biztosítani kell a kurzus teljesíthetőségét. </w:t>
      </w:r>
    </w:p>
    <w:p w14:paraId="4434B89A" w14:textId="77777777" w:rsidR="00925BA9" w:rsidRPr="001A620D" w:rsidRDefault="00925BA9" w:rsidP="00925BA9">
      <w:pPr>
        <w:pStyle w:val="Listaszerbekezds"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59AD6B8" w14:textId="19BEF505" w:rsidR="00925BA9" w:rsidRPr="00125A77" w:rsidRDefault="00925BA9" w:rsidP="00925BA9">
      <w:pPr>
        <w:pStyle w:val="Listaszerbekezds"/>
        <w:numPr>
          <w:ilvl w:val="0"/>
          <w:numId w:val="6"/>
        </w:numPr>
        <w:spacing w:after="0" w:line="240" w:lineRule="auto"/>
        <w:ind w:hanging="2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25A77">
        <w:rPr>
          <w:rFonts w:ascii="Times New Roman" w:eastAsia="Times New Roman" w:hAnsi="Times New Roman"/>
          <w:sz w:val="24"/>
          <w:szCs w:val="24"/>
          <w:lang w:eastAsia="hu-HU"/>
        </w:rPr>
        <w:t xml:space="preserve"> A JOKT Tájékoztató II</w:t>
      </w:r>
      <w:r w:rsidR="009F7C4C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25A77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részében tartalmazza a távolléti oktatás elveit, azzal, hogy a tavaszi szünetben részletes tájékoztató kerül kiadásra. A távolléti oktatásra történő felkészülés megkezdéséhez a jelen utasítást adom ki, azzal, hogy amennyiben jelen utasítás hatálybalépését követően kiadásra kerülő JOKT tájékoztató</w:t>
      </w:r>
      <w:r w:rsidR="00B3661F">
        <w:rPr>
          <w:rFonts w:ascii="Times New Roman" w:eastAsia="Times New Roman" w:hAnsi="Times New Roman"/>
          <w:sz w:val="24"/>
          <w:szCs w:val="24"/>
          <w:lang w:eastAsia="hu-HU"/>
        </w:rPr>
        <w:t>, vagy más egyetemi szintű rendelkezés</w:t>
      </w:r>
      <w:r w:rsidRPr="00125A77">
        <w:rPr>
          <w:rFonts w:ascii="Times New Roman" w:eastAsia="Times New Roman" w:hAnsi="Times New Roman"/>
          <w:sz w:val="24"/>
          <w:szCs w:val="24"/>
          <w:lang w:eastAsia="hu-HU"/>
        </w:rPr>
        <w:t xml:space="preserve"> jelen utasításban foglalt rendelkezésekkel ellentétes intézkedést léptet hatályba, az adott kérdésben a JOKT rendelkezése alkalmazandó. </w:t>
      </w:r>
    </w:p>
    <w:p w14:paraId="102C2478" w14:textId="77777777" w:rsidR="00925BA9" w:rsidRPr="00125A77" w:rsidRDefault="00925BA9" w:rsidP="00925BA9">
      <w:pPr>
        <w:ind w:left="283"/>
        <w:rPr>
          <w:sz w:val="24"/>
          <w:szCs w:val="24"/>
        </w:rPr>
      </w:pPr>
      <w:r w:rsidRPr="00125A77">
        <w:rPr>
          <w:sz w:val="24"/>
          <w:szCs w:val="24"/>
        </w:rPr>
        <w:t xml:space="preserve"> </w:t>
      </w:r>
    </w:p>
    <w:p w14:paraId="087FB7FC" w14:textId="77777777" w:rsidR="00925BA9" w:rsidRDefault="00925BA9" w:rsidP="00925BA9">
      <w:pPr>
        <w:numPr>
          <w:ilvl w:val="0"/>
          <w:numId w:val="6"/>
        </w:numPr>
        <w:ind w:hanging="283"/>
        <w:jc w:val="both"/>
        <w:rPr>
          <w:sz w:val="24"/>
          <w:szCs w:val="24"/>
        </w:rPr>
      </w:pPr>
      <w:r w:rsidRPr="00031232">
        <w:rPr>
          <w:sz w:val="24"/>
          <w:szCs w:val="24"/>
        </w:rPr>
        <w:t xml:space="preserve">Valamennyi kurzus tananyagát távolléti oktatásban kell a hallgatók részére biztosítani, egyetlen kurzus sem valósítható meg a hallgató személyes jelenlétével, sem az Egyetem épületeiben, sem az Egyetem épületein kívül. </w:t>
      </w:r>
    </w:p>
    <w:p w14:paraId="26C1EE5A" w14:textId="77777777" w:rsidR="00925BA9" w:rsidRPr="00031232" w:rsidRDefault="00925BA9" w:rsidP="00925BA9">
      <w:pPr>
        <w:jc w:val="both"/>
        <w:rPr>
          <w:sz w:val="24"/>
          <w:szCs w:val="24"/>
        </w:rPr>
      </w:pPr>
    </w:p>
    <w:p w14:paraId="78E1C82F" w14:textId="16252E42" w:rsidR="00925BA9" w:rsidRDefault="00925BA9" w:rsidP="00925BA9">
      <w:pPr>
        <w:numPr>
          <w:ilvl w:val="0"/>
          <w:numId w:val="6"/>
        </w:numPr>
        <w:ind w:hanging="283"/>
        <w:jc w:val="both"/>
        <w:rPr>
          <w:sz w:val="24"/>
          <w:szCs w:val="24"/>
        </w:rPr>
      </w:pPr>
      <w:r w:rsidRPr="00125A77">
        <w:rPr>
          <w:sz w:val="24"/>
          <w:szCs w:val="24"/>
        </w:rPr>
        <w:t>Valamennyi oktató kötelessége, hogy március 2</w:t>
      </w:r>
      <w:r w:rsidR="00960386">
        <w:rPr>
          <w:sz w:val="24"/>
          <w:szCs w:val="24"/>
        </w:rPr>
        <w:t>3</w:t>
      </w:r>
      <w:r w:rsidRPr="00125A77">
        <w:rPr>
          <w:sz w:val="24"/>
          <w:szCs w:val="24"/>
        </w:rPr>
        <w:t>-ig kidolgozza kurzusának távolléti oktatás formájában történő módszertanát</w:t>
      </w:r>
      <w:r>
        <w:rPr>
          <w:sz w:val="24"/>
          <w:szCs w:val="24"/>
        </w:rPr>
        <w:t>, és biztosíts</w:t>
      </w:r>
      <w:r w:rsidR="005B4F90">
        <w:rPr>
          <w:sz w:val="24"/>
          <w:szCs w:val="24"/>
        </w:rPr>
        <w:t>a</w:t>
      </w:r>
      <w:r>
        <w:rPr>
          <w:sz w:val="24"/>
          <w:szCs w:val="24"/>
        </w:rPr>
        <w:t xml:space="preserve"> március 23-ától folyamatosan a tananyagok hozzáférését a hallgatók számára</w:t>
      </w:r>
      <w:r w:rsidRPr="00125A77">
        <w:rPr>
          <w:sz w:val="24"/>
          <w:szCs w:val="24"/>
        </w:rPr>
        <w:t xml:space="preserve">. </w:t>
      </w:r>
    </w:p>
    <w:p w14:paraId="54437022" w14:textId="77777777" w:rsidR="00653739" w:rsidRDefault="00653739" w:rsidP="00653739">
      <w:pPr>
        <w:ind w:left="283"/>
        <w:jc w:val="both"/>
        <w:rPr>
          <w:sz w:val="24"/>
          <w:szCs w:val="24"/>
        </w:rPr>
      </w:pPr>
    </w:p>
    <w:p w14:paraId="3E624BC8" w14:textId="2AEA267D" w:rsidR="00925BA9" w:rsidRPr="00125A77" w:rsidRDefault="00925BA9" w:rsidP="00925BA9">
      <w:pPr>
        <w:numPr>
          <w:ilvl w:val="0"/>
          <w:numId w:val="6"/>
        </w:numPr>
        <w:ind w:hanging="283"/>
        <w:jc w:val="both"/>
        <w:rPr>
          <w:sz w:val="24"/>
          <w:szCs w:val="24"/>
        </w:rPr>
      </w:pPr>
      <w:r w:rsidRPr="00125A77">
        <w:rPr>
          <w:sz w:val="24"/>
          <w:szCs w:val="24"/>
        </w:rPr>
        <w:t>A távolléti oktatás módját és eszközét a JOKT tájékoztató, és jelen utasításban foglalt keretek között az adott oktató maga választja meg. A távoll</w:t>
      </w:r>
      <w:r>
        <w:rPr>
          <w:sz w:val="24"/>
          <w:szCs w:val="24"/>
        </w:rPr>
        <w:t>éti oktatáshoz az alábbi oktat</w:t>
      </w:r>
      <w:r w:rsidRPr="00125A77">
        <w:rPr>
          <w:sz w:val="24"/>
          <w:szCs w:val="24"/>
        </w:rPr>
        <w:t xml:space="preserve">ást támogató </w:t>
      </w:r>
      <w:r w:rsidRPr="00125A77">
        <w:rPr>
          <w:sz w:val="24"/>
          <w:szCs w:val="24"/>
        </w:rPr>
        <w:lastRenderedPageBreak/>
        <w:t xml:space="preserve">alkalmazások, programok </w:t>
      </w:r>
      <w:proofErr w:type="spellStart"/>
      <w:r w:rsidRPr="00125A77">
        <w:rPr>
          <w:sz w:val="24"/>
          <w:szCs w:val="24"/>
        </w:rPr>
        <w:t>használhatóak</w:t>
      </w:r>
      <w:proofErr w:type="spellEnd"/>
      <w:r w:rsidRPr="00125A77">
        <w:rPr>
          <w:sz w:val="24"/>
          <w:szCs w:val="24"/>
        </w:rPr>
        <w:t xml:space="preserve">: elsősorban </w:t>
      </w:r>
      <w:proofErr w:type="spellStart"/>
      <w:r w:rsidRPr="00125A77">
        <w:rPr>
          <w:sz w:val="24"/>
          <w:szCs w:val="24"/>
        </w:rPr>
        <w:t>Canvas</w:t>
      </w:r>
      <w:proofErr w:type="spellEnd"/>
      <w:r>
        <w:rPr>
          <w:rStyle w:val="Lbjegyzet-hivatkozs"/>
          <w:sz w:val="24"/>
          <w:szCs w:val="24"/>
        </w:rPr>
        <w:footnoteReference w:id="2"/>
      </w:r>
      <w:r w:rsidRPr="00125A77">
        <w:rPr>
          <w:sz w:val="24"/>
          <w:szCs w:val="24"/>
        </w:rPr>
        <w:t xml:space="preserve">, ezen túl </w:t>
      </w:r>
      <w:proofErr w:type="spellStart"/>
      <w:r w:rsidRPr="00125A77">
        <w:rPr>
          <w:sz w:val="24"/>
          <w:szCs w:val="24"/>
        </w:rPr>
        <w:t>Moodle</w:t>
      </w:r>
      <w:proofErr w:type="spellEnd"/>
      <w:r w:rsidRPr="00125A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Street. A hallgatókkal történő konzultációhoz, valamint a gyakorlati foglalkozások valós idejű megtartásához a</w:t>
      </w:r>
      <w:r w:rsidRPr="00125A77">
        <w:rPr>
          <w:sz w:val="24"/>
          <w:szCs w:val="24"/>
        </w:rPr>
        <w:t xml:space="preserve"> Microsoft Office </w:t>
      </w:r>
      <w:proofErr w:type="spellStart"/>
      <w:r w:rsidRPr="00125A77"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használata támogatott</w:t>
      </w:r>
      <w:r>
        <w:rPr>
          <w:rStyle w:val="Lbjegyzet-hivatkozs"/>
          <w:sz w:val="24"/>
          <w:szCs w:val="24"/>
        </w:rPr>
        <w:footnoteReference w:id="3"/>
      </w:r>
      <w:r w:rsidRPr="00125A77">
        <w:rPr>
          <w:sz w:val="24"/>
          <w:szCs w:val="24"/>
        </w:rPr>
        <w:t>.</w:t>
      </w:r>
      <w:r>
        <w:rPr>
          <w:sz w:val="24"/>
          <w:szCs w:val="24"/>
        </w:rPr>
        <w:t xml:space="preserve"> Egyéb eszköz, program használatához sem az Egyetem, sem a Kar technikai és módszertani támogatást nem tud biztosítani. </w:t>
      </w:r>
      <w:r w:rsidRPr="00125A77">
        <w:rPr>
          <w:sz w:val="24"/>
          <w:szCs w:val="24"/>
        </w:rPr>
        <w:t xml:space="preserve">Az adott kurzus esetében alkalmazandó programról, </w:t>
      </w:r>
      <w:r w:rsidR="00CC6499" w:rsidRPr="00125A77">
        <w:rPr>
          <w:sz w:val="24"/>
          <w:szCs w:val="24"/>
        </w:rPr>
        <w:t xml:space="preserve">alkalmazásról </w:t>
      </w:r>
      <w:r w:rsidRPr="00125A77">
        <w:rPr>
          <w:sz w:val="24"/>
          <w:szCs w:val="24"/>
        </w:rPr>
        <w:t>és a távolléti oktatás módjáról a kurzust oktató munkatársnak legkésőbb 2</w:t>
      </w:r>
      <w:r>
        <w:rPr>
          <w:sz w:val="24"/>
          <w:szCs w:val="24"/>
        </w:rPr>
        <w:t>020. március 2</w:t>
      </w:r>
      <w:r w:rsidR="005B4F90">
        <w:rPr>
          <w:sz w:val="24"/>
          <w:szCs w:val="24"/>
        </w:rPr>
        <w:t>2</w:t>
      </w:r>
      <w:r w:rsidRPr="00125A77">
        <w:rPr>
          <w:sz w:val="24"/>
          <w:szCs w:val="24"/>
        </w:rPr>
        <w:t xml:space="preserve">-ig tájékoztatnia kell a kurzus hallgatóit. </w:t>
      </w:r>
    </w:p>
    <w:p w14:paraId="5C021684" w14:textId="77777777" w:rsidR="00925BA9" w:rsidRPr="00125A77" w:rsidRDefault="00925BA9" w:rsidP="00925BA9">
      <w:pPr>
        <w:ind w:left="283"/>
        <w:jc w:val="both"/>
        <w:rPr>
          <w:sz w:val="24"/>
          <w:szCs w:val="24"/>
        </w:rPr>
      </w:pPr>
    </w:p>
    <w:p w14:paraId="7F8DC342" w14:textId="40884524" w:rsidR="00925BA9" w:rsidRDefault="00925BA9" w:rsidP="00653CEE">
      <w:pPr>
        <w:numPr>
          <w:ilvl w:val="0"/>
          <w:numId w:val="6"/>
        </w:numPr>
        <w:ind w:hanging="283"/>
        <w:jc w:val="both"/>
        <w:rPr>
          <w:sz w:val="24"/>
          <w:szCs w:val="24"/>
        </w:rPr>
      </w:pPr>
      <w:r w:rsidRPr="00BD2678">
        <w:rPr>
          <w:sz w:val="24"/>
          <w:szCs w:val="24"/>
        </w:rPr>
        <w:t>Az oktatásban részt vevő valamennyi munkatársnak választása szerinti program alkalmazását a távolléti oktatás megkezdéséhez szükséges mértékben 2020. március 2</w:t>
      </w:r>
      <w:r w:rsidR="000942F0">
        <w:rPr>
          <w:sz w:val="24"/>
          <w:szCs w:val="24"/>
        </w:rPr>
        <w:t>3</w:t>
      </w:r>
      <w:r w:rsidRPr="00BD2678">
        <w:rPr>
          <w:sz w:val="24"/>
          <w:szCs w:val="24"/>
        </w:rPr>
        <w:t xml:space="preserve">-ig, jelen utasítás hatálybalépését követő két hét elteltével pedig </w:t>
      </w:r>
      <w:proofErr w:type="gramStart"/>
      <w:r w:rsidRPr="00BD2678">
        <w:rPr>
          <w:sz w:val="24"/>
          <w:szCs w:val="24"/>
        </w:rPr>
        <w:t>teljes körűen</w:t>
      </w:r>
      <w:proofErr w:type="gramEnd"/>
      <w:r w:rsidRPr="00BD2678">
        <w:rPr>
          <w:sz w:val="24"/>
          <w:szCs w:val="24"/>
        </w:rPr>
        <w:t xml:space="preserve"> el kell sajátítania, elsősorban önképzéssel, a program írásos dokumentációja alapján.</w:t>
      </w:r>
      <w:r w:rsidR="00CC6499" w:rsidRPr="00BD2678">
        <w:rPr>
          <w:sz w:val="24"/>
          <w:szCs w:val="24"/>
        </w:rPr>
        <w:t xml:space="preserve"> </w:t>
      </w:r>
      <w:r w:rsidR="00CF6504">
        <w:rPr>
          <w:sz w:val="24"/>
          <w:szCs w:val="24"/>
        </w:rPr>
        <w:t xml:space="preserve">A Kar hosszú távú célja az </w:t>
      </w:r>
      <w:r w:rsidR="00CF6504" w:rsidRPr="00BD2678">
        <w:rPr>
          <w:sz w:val="24"/>
          <w:szCs w:val="24"/>
        </w:rPr>
        <w:t xml:space="preserve">ELTE által támogatott </w:t>
      </w:r>
      <w:proofErr w:type="spellStart"/>
      <w:r w:rsidR="00CF6504" w:rsidRPr="00BD2678">
        <w:rPr>
          <w:sz w:val="24"/>
          <w:szCs w:val="24"/>
        </w:rPr>
        <w:t>Canvas</w:t>
      </w:r>
      <w:proofErr w:type="spellEnd"/>
      <w:r w:rsidR="00CF6504" w:rsidRPr="00BD2678">
        <w:rPr>
          <w:sz w:val="24"/>
          <w:szCs w:val="24"/>
        </w:rPr>
        <w:t xml:space="preserve"> </w:t>
      </w:r>
      <w:r w:rsidR="00CF6504">
        <w:rPr>
          <w:sz w:val="24"/>
          <w:szCs w:val="24"/>
        </w:rPr>
        <w:t xml:space="preserve">rendszerre történő áttérés, ennek érdekében az oktatásban részt vevő valamennyi munkatársnak a </w:t>
      </w:r>
      <w:proofErr w:type="spellStart"/>
      <w:r w:rsidR="00CF6504">
        <w:rPr>
          <w:sz w:val="24"/>
          <w:szCs w:val="24"/>
        </w:rPr>
        <w:t>Canvas</w:t>
      </w:r>
      <w:proofErr w:type="spellEnd"/>
      <w:r w:rsidR="00CF6504">
        <w:rPr>
          <w:sz w:val="24"/>
          <w:szCs w:val="24"/>
        </w:rPr>
        <w:t xml:space="preserve"> rendszer használatát jelen utasítás hatályba lépésétől számított egy hónapon belül </w:t>
      </w:r>
      <w:r w:rsidR="00E91D9D">
        <w:rPr>
          <w:sz w:val="24"/>
          <w:szCs w:val="24"/>
        </w:rPr>
        <w:t>el kell sajátítania</w:t>
      </w:r>
      <w:r w:rsidR="00CF6504">
        <w:rPr>
          <w:sz w:val="24"/>
          <w:szCs w:val="24"/>
        </w:rPr>
        <w:t xml:space="preserve">. </w:t>
      </w:r>
      <w:r w:rsidR="00CC6499" w:rsidRPr="00BD2678">
        <w:rPr>
          <w:sz w:val="24"/>
          <w:szCs w:val="24"/>
        </w:rPr>
        <w:t xml:space="preserve"> </w:t>
      </w:r>
      <w:r w:rsidR="00CF6504">
        <w:rPr>
          <w:sz w:val="24"/>
          <w:szCs w:val="24"/>
        </w:rPr>
        <w:t xml:space="preserve">A </w:t>
      </w:r>
      <w:proofErr w:type="spellStart"/>
      <w:r w:rsidR="00CF6504">
        <w:rPr>
          <w:sz w:val="24"/>
          <w:szCs w:val="24"/>
        </w:rPr>
        <w:t>Canvas</w:t>
      </w:r>
      <w:proofErr w:type="spellEnd"/>
      <w:r w:rsidR="00CF6504">
        <w:rPr>
          <w:sz w:val="24"/>
          <w:szCs w:val="24"/>
        </w:rPr>
        <w:t xml:space="preserve"> </w:t>
      </w:r>
      <w:r w:rsidR="00CC6499" w:rsidRPr="00BD2678">
        <w:rPr>
          <w:sz w:val="24"/>
          <w:szCs w:val="24"/>
        </w:rPr>
        <w:t>használatának támogatása érdekében az intézetek igazgatói valamennyi intézetben kijelölik az</w:t>
      </w:r>
      <w:r w:rsidR="00960386">
        <w:rPr>
          <w:sz w:val="24"/>
          <w:szCs w:val="24"/>
        </w:rPr>
        <w:t>(oka)</w:t>
      </w:r>
      <w:r w:rsidR="00CC6499" w:rsidRPr="00BD2678">
        <w:rPr>
          <w:sz w:val="24"/>
          <w:szCs w:val="24"/>
        </w:rPr>
        <w:t xml:space="preserve">t a programot magas szinten ismerő </w:t>
      </w:r>
      <w:proofErr w:type="spellStart"/>
      <w:r w:rsidR="00CC6499" w:rsidRPr="00BD2678">
        <w:rPr>
          <w:sz w:val="24"/>
          <w:szCs w:val="24"/>
        </w:rPr>
        <w:t>kollégá</w:t>
      </w:r>
      <w:proofErr w:type="spellEnd"/>
      <w:r w:rsidR="00CC6499" w:rsidRPr="00BD2678">
        <w:rPr>
          <w:sz w:val="24"/>
          <w:szCs w:val="24"/>
        </w:rPr>
        <w:t>(</w:t>
      </w:r>
      <w:proofErr w:type="spellStart"/>
      <w:r w:rsidR="00CC6499" w:rsidRPr="00BD2678">
        <w:rPr>
          <w:sz w:val="24"/>
          <w:szCs w:val="24"/>
        </w:rPr>
        <w:t>ka</w:t>
      </w:r>
      <w:proofErr w:type="spellEnd"/>
      <w:r w:rsidR="00CC6499" w:rsidRPr="00BD2678">
        <w:rPr>
          <w:sz w:val="24"/>
          <w:szCs w:val="24"/>
        </w:rPr>
        <w:t>)t, akik az oktatóknak szükséges esetben segítséget nyújtanak.</w:t>
      </w:r>
      <w:r w:rsidR="00653739" w:rsidRPr="00BD2678">
        <w:rPr>
          <w:sz w:val="24"/>
          <w:szCs w:val="24"/>
        </w:rPr>
        <w:t xml:space="preserve"> </w:t>
      </w:r>
    </w:p>
    <w:p w14:paraId="464865AD" w14:textId="77777777" w:rsidR="00BD2678" w:rsidRPr="00BD2678" w:rsidRDefault="00BD2678" w:rsidP="00BD2678">
      <w:pPr>
        <w:jc w:val="both"/>
        <w:rPr>
          <w:sz w:val="24"/>
          <w:szCs w:val="24"/>
        </w:rPr>
      </w:pPr>
    </w:p>
    <w:p w14:paraId="7C88C8AA" w14:textId="77777777" w:rsidR="00925BA9" w:rsidRPr="00125A77" w:rsidRDefault="00925BA9" w:rsidP="00925BA9">
      <w:pPr>
        <w:numPr>
          <w:ilvl w:val="0"/>
          <w:numId w:val="6"/>
        </w:numPr>
        <w:ind w:hanging="283"/>
        <w:jc w:val="both"/>
        <w:rPr>
          <w:sz w:val="24"/>
          <w:szCs w:val="24"/>
        </w:rPr>
      </w:pPr>
      <w:r w:rsidRPr="00125A77">
        <w:rPr>
          <w:sz w:val="24"/>
          <w:szCs w:val="24"/>
        </w:rPr>
        <w:t>Az oktató a jelen utasítás szerint általa választott program alkalmazásával teszi a kurzus hallgatói számára a tananyagot online formában elérhetővé. A rendelkezésre bocsátott tananyag formátumát az érintett oktató választja meg. A megadott tananyag jegyzet, e-könyv, elektronikus folyóirat,</w:t>
      </w:r>
      <w:r>
        <w:rPr>
          <w:sz w:val="24"/>
          <w:szCs w:val="24"/>
        </w:rPr>
        <w:t xml:space="preserve"> demonstrációs videó,</w:t>
      </w:r>
      <w:r w:rsidRPr="00125A77">
        <w:rPr>
          <w:sz w:val="24"/>
          <w:szCs w:val="24"/>
        </w:rPr>
        <w:t xml:space="preserve"> </w:t>
      </w:r>
      <w:proofErr w:type="gramStart"/>
      <w:r w:rsidRPr="00125A77">
        <w:rPr>
          <w:sz w:val="24"/>
          <w:szCs w:val="24"/>
        </w:rPr>
        <w:t>hanggal ellátott,</w:t>
      </w:r>
      <w:proofErr w:type="gramEnd"/>
      <w:r w:rsidRPr="00125A77">
        <w:rPr>
          <w:sz w:val="24"/>
          <w:szCs w:val="24"/>
        </w:rPr>
        <w:t xml:space="preserve"> vagy hang nélküli diasor</w:t>
      </w:r>
      <w:r>
        <w:rPr>
          <w:rStyle w:val="Lbjegyzet-hivatkozs"/>
          <w:sz w:val="24"/>
          <w:szCs w:val="24"/>
        </w:rPr>
        <w:footnoteReference w:id="4"/>
      </w:r>
      <w:r w:rsidRPr="00125A77">
        <w:rPr>
          <w:sz w:val="24"/>
          <w:szCs w:val="24"/>
        </w:rPr>
        <w:t>, előadás felvétele</w:t>
      </w:r>
      <w:r>
        <w:rPr>
          <w:sz w:val="24"/>
          <w:szCs w:val="24"/>
        </w:rPr>
        <w:t>, vagy gyakorlat esetében élő közvetítés</w:t>
      </w:r>
      <w:r w:rsidRPr="00125A77">
        <w:rPr>
          <w:sz w:val="24"/>
          <w:szCs w:val="24"/>
        </w:rPr>
        <w:t xml:space="preserve"> alkalmazásával történhet. Valamen</w:t>
      </w:r>
      <w:r>
        <w:rPr>
          <w:sz w:val="24"/>
          <w:szCs w:val="24"/>
        </w:rPr>
        <w:t>nyi esetben pontosan meg kell határozni a számonkérésre kerülő tananyagot (pl. oldalszámok megadásával)</w:t>
      </w:r>
      <w:r w:rsidRPr="00125A77">
        <w:rPr>
          <w:sz w:val="24"/>
          <w:szCs w:val="24"/>
        </w:rPr>
        <w:t>.</w:t>
      </w:r>
      <w:r w:rsidRPr="00802D0E">
        <w:rPr>
          <w:rStyle w:val="Lbjegyzet-hivatkozs"/>
          <w:sz w:val="24"/>
          <w:szCs w:val="24"/>
        </w:rPr>
        <w:footnoteReference w:id="5"/>
      </w:r>
      <w:r w:rsidRPr="00D83471">
        <w:rPr>
          <w:rStyle w:val="Lbjegyzet-hivatkozs"/>
          <w:sz w:val="24"/>
          <w:szCs w:val="24"/>
        </w:rPr>
        <w:t xml:space="preserve"> </w:t>
      </w:r>
      <w:r w:rsidRPr="00125A77">
        <w:rPr>
          <w:sz w:val="24"/>
          <w:szCs w:val="24"/>
        </w:rPr>
        <w:t xml:space="preserve">Számonkérésre csak az így megadott tananyag kerülhet. </w:t>
      </w:r>
    </w:p>
    <w:p w14:paraId="26870E2E" w14:textId="77777777" w:rsidR="00925BA9" w:rsidRPr="00125A77" w:rsidRDefault="00925BA9" w:rsidP="00925BA9">
      <w:pPr>
        <w:rPr>
          <w:sz w:val="24"/>
          <w:szCs w:val="24"/>
        </w:rPr>
      </w:pPr>
    </w:p>
    <w:p w14:paraId="2637CE42" w14:textId="77777777" w:rsidR="00925BA9" w:rsidRDefault="00925BA9" w:rsidP="00925BA9">
      <w:pPr>
        <w:numPr>
          <w:ilvl w:val="0"/>
          <w:numId w:val="6"/>
        </w:numPr>
        <w:ind w:hanging="283"/>
        <w:jc w:val="both"/>
        <w:rPr>
          <w:sz w:val="24"/>
          <w:szCs w:val="24"/>
        </w:rPr>
      </w:pPr>
      <w:r w:rsidRPr="00125A77">
        <w:rPr>
          <w:sz w:val="24"/>
          <w:szCs w:val="24"/>
        </w:rPr>
        <w:t xml:space="preserve">Törekedni kell arra, hogy a távolléti oktatás megkezdését követően először az elméleti kurzusok, ismeretek átadása történjen meg. </w:t>
      </w:r>
    </w:p>
    <w:p w14:paraId="45F081C2" w14:textId="77777777" w:rsidR="00925BA9" w:rsidRDefault="00925BA9" w:rsidP="00925BA9">
      <w:pPr>
        <w:ind w:left="283"/>
        <w:jc w:val="both"/>
        <w:rPr>
          <w:sz w:val="24"/>
          <w:szCs w:val="24"/>
        </w:rPr>
      </w:pPr>
    </w:p>
    <w:p w14:paraId="36AEC9C4" w14:textId="74AD2191" w:rsidR="00925BA9" w:rsidRDefault="00925BA9" w:rsidP="00925BA9">
      <w:pPr>
        <w:numPr>
          <w:ilvl w:val="0"/>
          <w:numId w:val="6"/>
        </w:numPr>
        <w:ind w:hanging="283"/>
        <w:jc w:val="both"/>
        <w:rPr>
          <w:sz w:val="24"/>
          <w:szCs w:val="24"/>
        </w:rPr>
      </w:pPr>
      <w:r w:rsidRPr="00125A77">
        <w:rPr>
          <w:sz w:val="24"/>
          <w:szCs w:val="24"/>
        </w:rPr>
        <w:t>Az előadások élő közvetítéssel (streamelés) nem tartható</w:t>
      </w:r>
      <w:r>
        <w:rPr>
          <w:sz w:val="24"/>
          <w:szCs w:val="24"/>
        </w:rPr>
        <w:t>k</w:t>
      </w:r>
      <w:r w:rsidRPr="00125A77">
        <w:rPr>
          <w:sz w:val="24"/>
          <w:szCs w:val="24"/>
        </w:rPr>
        <w:t xml:space="preserve"> meg a JOKT tájékozta</w:t>
      </w:r>
      <w:r>
        <w:rPr>
          <w:sz w:val="24"/>
          <w:szCs w:val="24"/>
        </w:rPr>
        <w:t>tó alapján, de előre felvett videóanyagok megosztása lehetséges.</w:t>
      </w:r>
    </w:p>
    <w:p w14:paraId="6A7F3952" w14:textId="77777777" w:rsidR="00925BA9" w:rsidRDefault="00925BA9" w:rsidP="00925BA9">
      <w:pPr>
        <w:ind w:left="283"/>
        <w:jc w:val="both"/>
        <w:rPr>
          <w:sz w:val="24"/>
          <w:szCs w:val="24"/>
        </w:rPr>
      </w:pPr>
    </w:p>
    <w:p w14:paraId="2DC6E5D1" w14:textId="61188135" w:rsidR="00925BA9" w:rsidRPr="00E322B7" w:rsidRDefault="00925BA9" w:rsidP="00925BA9">
      <w:pPr>
        <w:numPr>
          <w:ilvl w:val="0"/>
          <w:numId w:val="6"/>
        </w:numPr>
        <w:ind w:hanging="283"/>
        <w:jc w:val="both"/>
        <w:rPr>
          <w:sz w:val="24"/>
          <w:szCs w:val="24"/>
        </w:rPr>
      </w:pPr>
      <w:r w:rsidRPr="00E322B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laboratóriumi </w:t>
      </w:r>
      <w:r w:rsidRPr="00E322B7">
        <w:rPr>
          <w:sz w:val="24"/>
          <w:szCs w:val="24"/>
        </w:rPr>
        <w:t xml:space="preserve">gyakorlatok, terepgyakorlatok esetében olyan minimális programot kell kidolgozni (például demonstrációs videók, mérés jellegű feladatoknál kiértékelendő adatsorokat), amellyel az adott gyakorlat abban az esetben is teljesíthető a szorgalmi időszak </w:t>
      </w:r>
      <w:r w:rsidRPr="00E322B7">
        <w:rPr>
          <w:sz w:val="24"/>
          <w:szCs w:val="24"/>
        </w:rPr>
        <w:lastRenderedPageBreak/>
        <w:t>végéig (2020. május 15.), ha már nem lesz mód több kontaktóra megtartására ebben a félévben. Gyakorlati foglalkozások valós idejű megtartása a kurzus tanrendben szereplő időpontjában</w:t>
      </w:r>
      <w:r>
        <w:rPr>
          <w:sz w:val="24"/>
          <w:szCs w:val="24"/>
        </w:rPr>
        <w:t xml:space="preserve">, online formában </w:t>
      </w:r>
      <w:r w:rsidR="005B4F90">
        <w:rPr>
          <w:sz w:val="24"/>
          <w:szCs w:val="24"/>
        </w:rPr>
        <w:t xml:space="preserve">is </w:t>
      </w:r>
      <w:r w:rsidRPr="00E322B7">
        <w:rPr>
          <w:sz w:val="24"/>
          <w:szCs w:val="24"/>
        </w:rPr>
        <w:t>történhet.</w:t>
      </w:r>
    </w:p>
    <w:p w14:paraId="426B5366" w14:textId="77777777" w:rsidR="00925BA9" w:rsidRPr="00E322B7" w:rsidRDefault="00925BA9" w:rsidP="00925BA9">
      <w:pPr>
        <w:jc w:val="both"/>
        <w:rPr>
          <w:sz w:val="24"/>
          <w:szCs w:val="24"/>
        </w:rPr>
      </w:pPr>
    </w:p>
    <w:p w14:paraId="2A6B4D0B" w14:textId="2860FF2F" w:rsidR="00925BA9" w:rsidRPr="00E322B7" w:rsidRDefault="00925BA9" w:rsidP="00925BA9">
      <w:pPr>
        <w:numPr>
          <w:ilvl w:val="0"/>
          <w:numId w:val="6"/>
        </w:numPr>
        <w:ind w:left="426" w:hanging="360"/>
        <w:jc w:val="both"/>
        <w:rPr>
          <w:sz w:val="24"/>
          <w:szCs w:val="24"/>
        </w:rPr>
      </w:pPr>
      <w:r w:rsidRPr="00E322B7">
        <w:rPr>
          <w:sz w:val="24"/>
          <w:szCs w:val="24"/>
        </w:rPr>
        <w:t xml:space="preserve">Amennyiben valamely kurzus jellege miatt az távolléti oktatás formájában a </w:t>
      </w:r>
      <w:r>
        <w:rPr>
          <w:sz w:val="24"/>
          <w:szCs w:val="24"/>
        </w:rPr>
        <w:t>10</w:t>
      </w:r>
      <w:r w:rsidRPr="00E322B7">
        <w:rPr>
          <w:sz w:val="24"/>
          <w:szCs w:val="24"/>
        </w:rPr>
        <w:t xml:space="preserve">. pont szerinti minimális program kidolgozásával sem teljesíthető, </w:t>
      </w:r>
      <w:r w:rsidR="000942F0">
        <w:rPr>
          <w:sz w:val="24"/>
          <w:szCs w:val="24"/>
        </w:rPr>
        <w:t>mert</w:t>
      </w:r>
      <w:r w:rsidR="000942F0" w:rsidRPr="00E322B7">
        <w:rPr>
          <w:sz w:val="24"/>
          <w:szCs w:val="24"/>
        </w:rPr>
        <w:t xml:space="preserve"> </w:t>
      </w:r>
      <w:r w:rsidRPr="00E322B7">
        <w:rPr>
          <w:sz w:val="24"/>
          <w:szCs w:val="24"/>
        </w:rPr>
        <w:t xml:space="preserve">a hallgató személyes jelenléte elengedhetetlenül szükséges </w:t>
      </w:r>
      <w:r w:rsidR="000942F0">
        <w:rPr>
          <w:sz w:val="24"/>
          <w:szCs w:val="24"/>
        </w:rPr>
        <w:t xml:space="preserve">lenne, </w:t>
      </w:r>
      <w:r w:rsidRPr="00E322B7">
        <w:rPr>
          <w:sz w:val="24"/>
          <w:szCs w:val="24"/>
        </w:rPr>
        <w:t>a dékán a kurzus távolléti oktatásban történő megtartás</w:t>
      </w:r>
      <w:r w:rsidR="000942F0">
        <w:rPr>
          <w:sz w:val="24"/>
          <w:szCs w:val="24"/>
        </w:rPr>
        <w:t>ának kötelezettsége</w:t>
      </w:r>
      <w:r w:rsidRPr="00E322B7">
        <w:rPr>
          <w:sz w:val="24"/>
          <w:szCs w:val="24"/>
        </w:rPr>
        <w:t xml:space="preserve"> alól felmentést adhat, </w:t>
      </w:r>
      <w:r>
        <w:rPr>
          <w:sz w:val="24"/>
          <w:szCs w:val="24"/>
        </w:rPr>
        <w:t xml:space="preserve">és mivel kontaktóra sem tartható meg, ezért </w:t>
      </w:r>
      <w:r w:rsidRPr="00E322B7">
        <w:rPr>
          <w:sz w:val="24"/>
          <w:szCs w:val="24"/>
        </w:rPr>
        <w:t xml:space="preserve">az ilyen kurzus elhagyott tanegységnek minősül. A részletes indokolással ellátott kérelmet az intézetigazgató/ Környezettudományi Centrum vezetője legkésőbb 2020. március 18-án 12 óráig terjeszti az oktatási dékánhelyettes útján a dékán elé.  </w:t>
      </w:r>
    </w:p>
    <w:p w14:paraId="7177626E" w14:textId="77777777" w:rsidR="00925BA9" w:rsidRPr="00125A77" w:rsidRDefault="00925BA9" w:rsidP="00925BA9">
      <w:pPr>
        <w:ind w:left="426"/>
        <w:jc w:val="both"/>
        <w:rPr>
          <w:sz w:val="24"/>
          <w:szCs w:val="24"/>
        </w:rPr>
      </w:pPr>
    </w:p>
    <w:p w14:paraId="0C080216" w14:textId="77777777" w:rsidR="00925BA9" w:rsidRPr="00125A77" w:rsidRDefault="00925BA9" w:rsidP="00925BA9">
      <w:pPr>
        <w:numPr>
          <w:ilvl w:val="0"/>
          <w:numId w:val="6"/>
        </w:numPr>
        <w:ind w:hanging="360"/>
        <w:jc w:val="both"/>
        <w:rPr>
          <w:sz w:val="24"/>
          <w:szCs w:val="24"/>
        </w:rPr>
      </w:pPr>
      <w:r w:rsidRPr="00125A77">
        <w:rPr>
          <w:sz w:val="24"/>
          <w:szCs w:val="24"/>
        </w:rPr>
        <w:t xml:space="preserve">Valamennyi oktatónak ki kell dolgoznia a számonkérésekhez szükséges online kérdésbázist, tesztkérdés, esszékérdés, vagy a kettő kombinációja formájában.  </w:t>
      </w:r>
      <w:r w:rsidRPr="00084D31">
        <w:rPr>
          <w:sz w:val="24"/>
          <w:szCs w:val="24"/>
        </w:rPr>
        <w:t>A korábbi rend szerint 2020. március 12-től tervezett jelenléti beszámolók, zárthelyi dolgozatok, szakdolgozatvédések</w:t>
      </w:r>
      <w:r>
        <w:rPr>
          <w:sz w:val="24"/>
          <w:szCs w:val="24"/>
        </w:rPr>
        <w:t>, időközi vizsgák stb. rendjének</w:t>
      </w:r>
      <w:r w:rsidRPr="00084D31">
        <w:rPr>
          <w:sz w:val="24"/>
          <w:szCs w:val="24"/>
        </w:rPr>
        <w:t xml:space="preserve"> </w:t>
      </w:r>
      <w:r>
        <w:rPr>
          <w:sz w:val="24"/>
          <w:szCs w:val="24"/>
        </w:rPr>
        <w:t>kari irányelveit a későbbiekben állapítjuk meg, a vonatkozó egyetemi rendelkezések kibocsátását követően</w:t>
      </w:r>
      <w:r w:rsidRPr="00084D31">
        <w:rPr>
          <w:sz w:val="24"/>
          <w:szCs w:val="24"/>
        </w:rPr>
        <w:t>.</w:t>
      </w:r>
    </w:p>
    <w:p w14:paraId="2A44BDAA" w14:textId="77777777" w:rsidR="00925BA9" w:rsidRPr="00125A77" w:rsidRDefault="00925BA9" w:rsidP="00925BA9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2CFB06" w14:textId="438D72CC" w:rsidR="00925BA9" w:rsidRDefault="00925BA9" w:rsidP="00925BA9">
      <w:pPr>
        <w:pStyle w:val="Listaszerbekezds"/>
        <w:numPr>
          <w:ilvl w:val="0"/>
          <w:numId w:val="6"/>
        </w:numPr>
        <w:spacing w:after="0" w:line="240" w:lineRule="auto"/>
        <w:ind w:hanging="2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4E4">
        <w:rPr>
          <w:rFonts w:ascii="Times New Roman" w:eastAsia="Times New Roman" w:hAnsi="Times New Roman"/>
          <w:sz w:val="24"/>
          <w:szCs w:val="24"/>
          <w:lang w:eastAsia="hu-HU"/>
        </w:rPr>
        <w:t>A labor- és terepmunkaigényes szakdolgozatok esetében a témavez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ető olyan témamódosítást dolgoz</w:t>
      </w:r>
      <w:r w:rsidRPr="00EC64E4">
        <w:rPr>
          <w:rFonts w:ascii="Times New Roman" w:eastAsia="Times New Roman" w:hAnsi="Times New Roman"/>
          <w:sz w:val="24"/>
          <w:szCs w:val="24"/>
          <w:lang w:eastAsia="hu-HU"/>
        </w:rPr>
        <w:t xml:space="preserve">zon ki, melyet a hallgató távolról, önállóan is el tud végezni, és a hallgató személyes jelenléte nem szükséges. </w:t>
      </w:r>
      <w:r w:rsidRPr="00805F7C">
        <w:rPr>
          <w:rFonts w:ascii="Times New Roman" w:eastAsia="Times New Roman" w:hAnsi="Times New Roman"/>
          <w:sz w:val="24"/>
          <w:szCs w:val="24"/>
          <w:lang w:eastAsia="hu-HU"/>
        </w:rPr>
        <w:t>A szakdolgozatok és diplomamunkák értékelését nem ront</w:t>
      </w:r>
      <w:r w:rsidR="000942F0">
        <w:rPr>
          <w:rFonts w:ascii="Times New Roman" w:eastAsia="Times New Roman" w:hAnsi="Times New Roman"/>
          <w:sz w:val="24"/>
          <w:szCs w:val="24"/>
          <w:lang w:eastAsia="hu-HU"/>
        </w:rPr>
        <w:t>hat</w:t>
      </w:r>
      <w:r w:rsidRPr="00805F7C">
        <w:rPr>
          <w:rFonts w:ascii="Times New Roman" w:eastAsia="Times New Roman" w:hAnsi="Times New Roman"/>
          <w:sz w:val="24"/>
          <w:szCs w:val="24"/>
          <w:lang w:eastAsia="hu-HU"/>
        </w:rPr>
        <w:t>ja le az elmaradt  labor- és terepmunka.</w:t>
      </w:r>
    </w:p>
    <w:p w14:paraId="1AA6EDF9" w14:textId="77777777" w:rsidR="00925BA9" w:rsidRPr="00EC64E4" w:rsidRDefault="00925BA9" w:rsidP="00925BA9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04264D" w14:textId="77777777" w:rsidR="00925BA9" w:rsidRPr="00125A77" w:rsidRDefault="00925BA9" w:rsidP="00925BA9">
      <w:pPr>
        <w:pStyle w:val="Listaszerbekezds"/>
        <w:numPr>
          <w:ilvl w:val="0"/>
          <w:numId w:val="6"/>
        </w:numPr>
        <w:spacing w:after="0" w:line="240" w:lineRule="auto"/>
        <w:ind w:hanging="2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25A77">
        <w:rPr>
          <w:rFonts w:ascii="Times New Roman" w:eastAsia="Times New Roman" w:hAnsi="Times New Roman"/>
          <w:sz w:val="24"/>
          <w:szCs w:val="24"/>
          <w:lang w:eastAsia="hu-HU"/>
        </w:rPr>
        <w:t xml:space="preserve">A jelen utasítás a kihirdetésének napján lép hatályba.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Jelen utasítás végrehajtása érdekében az intézetigazgatók, valamint a Környezettudományi Centrum vezetője az intézetre/Környezettudományi Centrumra vonatkozó tájékoztatót, feladatkiosztást tehet közzé. </w:t>
      </w:r>
    </w:p>
    <w:p w14:paraId="673E1E54" w14:textId="77777777" w:rsidR="00925BA9" w:rsidRPr="00125A77" w:rsidRDefault="00925BA9" w:rsidP="00925BA9">
      <w:pPr>
        <w:pStyle w:val="Listaszerbekezds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1E6BDC" w14:textId="77777777" w:rsidR="00925BA9" w:rsidRPr="00125A77" w:rsidRDefault="00925BA9" w:rsidP="00925BA9">
      <w:pPr>
        <w:rPr>
          <w:sz w:val="24"/>
          <w:szCs w:val="24"/>
        </w:rPr>
      </w:pPr>
    </w:p>
    <w:p w14:paraId="0B1CAD9E" w14:textId="41EB7C0D" w:rsidR="00925BA9" w:rsidRPr="00125A77" w:rsidRDefault="00925BA9" w:rsidP="00925BA9">
      <w:pPr>
        <w:rPr>
          <w:sz w:val="24"/>
          <w:szCs w:val="24"/>
        </w:rPr>
      </w:pPr>
      <w:r w:rsidRPr="00125A77">
        <w:rPr>
          <w:sz w:val="24"/>
          <w:szCs w:val="24"/>
        </w:rPr>
        <w:t xml:space="preserve">Budapest, 2020. március </w:t>
      </w:r>
      <w:r w:rsidR="00DD255F">
        <w:rPr>
          <w:sz w:val="24"/>
          <w:szCs w:val="24"/>
        </w:rPr>
        <w:t>15.</w:t>
      </w:r>
    </w:p>
    <w:p w14:paraId="663D3FF1" w14:textId="77777777" w:rsidR="00925BA9" w:rsidRPr="00125A77" w:rsidRDefault="00925BA9" w:rsidP="00925BA9">
      <w:pPr>
        <w:ind w:left="360"/>
        <w:rPr>
          <w:sz w:val="24"/>
          <w:szCs w:val="24"/>
        </w:rPr>
      </w:pPr>
      <w:r w:rsidRPr="00125A77">
        <w:rPr>
          <w:sz w:val="24"/>
          <w:szCs w:val="24"/>
        </w:rPr>
        <w:t xml:space="preserve"> </w:t>
      </w:r>
    </w:p>
    <w:p w14:paraId="56CAED92" w14:textId="15472897" w:rsidR="00925BA9" w:rsidRPr="00125A77" w:rsidRDefault="00925BA9" w:rsidP="00925BA9">
      <w:pPr>
        <w:tabs>
          <w:tab w:val="center" w:pos="6804"/>
        </w:tabs>
        <w:ind w:left="10" w:right="865" w:hanging="10"/>
        <w:rPr>
          <w:sz w:val="24"/>
          <w:szCs w:val="24"/>
        </w:rPr>
      </w:pPr>
      <w:r w:rsidRPr="00125A77">
        <w:rPr>
          <w:sz w:val="24"/>
          <w:szCs w:val="24"/>
        </w:rPr>
        <w:tab/>
      </w:r>
      <w:r w:rsidRPr="00125A77">
        <w:rPr>
          <w:sz w:val="24"/>
          <w:szCs w:val="24"/>
        </w:rPr>
        <w:tab/>
        <w:t>Dr. Kacskovics Imre</w:t>
      </w:r>
      <w:r>
        <w:rPr>
          <w:sz w:val="24"/>
          <w:szCs w:val="24"/>
        </w:rPr>
        <w:t xml:space="preserve"> s</w:t>
      </w:r>
      <w:r w:rsidR="002304DC">
        <w:rPr>
          <w:sz w:val="24"/>
          <w:szCs w:val="24"/>
        </w:rPr>
        <w:t xml:space="preserve">. </w:t>
      </w:r>
      <w:r>
        <w:rPr>
          <w:sz w:val="24"/>
          <w:szCs w:val="24"/>
        </w:rPr>
        <w:t>k.</w:t>
      </w:r>
      <w:r w:rsidRPr="00125A77">
        <w:rPr>
          <w:sz w:val="24"/>
          <w:szCs w:val="24"/>
        </w:rPr>
        <w:t xml:space="preserve">   </w:t>
      </w:r>
      <w:r w:rsidRPr="00125A77">
        <w:rPr>
          <w:sz w:val="24"/>
          <w:szCs w:val="24"/>
        </w:rPr>
        <w:tab/>
        <w:t xml:space="preserve">dékán  </w:t>
      </w:r>
    </w:p>
    <w:p w14:paraId="61010206" w14:textId="77777777" w:rsidR="00C72F23" w:rsidRPr="009C07F9" w:rsidRDefault="00C72F23" w:rsidP="008051E4">
      <w:pPr>
        <w:jc w:val="both"/>
        <w:rPr>
          <w:sz w:val="22"/>
          <w:szCs w:val="22"/>
        </w:rPr>
      </w:pPr>
      <w:bookmarkStart w:id="0" w:name="_GoBack"/>
      <w:bookmarkEnd w:id="0"/>
    </w:p>
    <w:sectPr w:rsidR="00C72F23" w:rsidRPr="009C07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9172" w14:textId="77777777" w:rsidR="007A5FBB" w:rsidRDefault="007A5FBB" w:rsidP="00085338">
      <w:r>
        <w:separator/>
      </w:r>
    </w:p>
  </w:endnote>
  <w:endnote w:type="continuationSeparator" w:id="0">
    <w:p w14:paraId="542F3725" w14:textId="77777777" w:rsidR="007A5FBB" w:rsidRDefault="007A5FBB" w:rsidP="0008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charset w:val="00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E602" w14:textId="77777777" w:rsidR="007A5FBB" w:rsidRPr="000B690D" w:rsidRDefault="007A5FBB" w:rsidP="00085338">
    <w:pPr>
      <w:pStyle w:val="llb"/>
      <w:pBdr>
        <w:top w:val="single" w:sz="6" w:space="5" w:color="auto"/>
      </w:pBdr>
      <w:tabs>
        <w:tab w:val="clear" w:pos="9072"/>
      </w:tabs>
      <w:ind w:right="-1"/>
      <w:rPr>
        <w:rFonts w:ascii="Garamond" w:hAnsi="Garamond"/>
        <w:b/>
        <w:smallCaps/>
      </w:rPr>
    </w:pPr>
    <w:r w:rsidRPr="000B690D">
      <w:rPr>
        <w:rFonts w:ascii="Garamond" w:hAnsi="Garamond"/>
        <w:b/>
        <w:smallCaps/>
      </w:rPr>
      <w:sym w:font="Wingdings" w:char="F02A"/>
    </w:r>
    <w:r w:rsidRPr="000B690D">
      <w:rPr>
        <w:rFonts w:ascii="Garamond" w:hAnsi="Garamond"/>
        <w:b/>
        <w:smallCaps/>
      </w:rPr>
      <w:t xml:space="preserve"> 1117 Budapest, Pázmány Péter sétány 1/A</w:t>
    </w:r>
  </w:p>
  <w:p w14:paraId="33D1AB5A" w14:textId="77777777" w:rsidR="007A5FBB" w:rsidRPr="000B690D" w:rsidRDefault="007A5FBB" w:rsidP="00085338">
    <w:pPr>
      <w:pStyle w:val="llb"/>
      <w:rPr>
        <w:rFonts w:ascii="Garamond" w:hAnsi="Garamond"/>
        <w:b/>
        <w:smallCaps/>
      </w:rPr>
    </w:pPr>
    <w:r w:rsidRPr="000B690D">
      <w:rPr>
        <w:rFonts w:ascii="Garamond" w:hAnsi="Garamond"/>
        <w:b/>
        <w:smallCaps/>
      </w:rPr>
      <w:sym w:font="Wingdings" w:char="F028"/>
    </w:r>
    <w:r w:rsidRPr="000B690D">
      <w:rPr>
        <w:rFonts w:ascii="Garamond" w:hAnsi="Garamond"/>
        <w:b/>
        <w:smallCaps/>
      </w:rPr>
      <w:t xml:space="preserve"> (1) 372-2545, (1) 209-0555/6145 </w:t>
    </w:r>
  </w:p>
  <w:p w14:paraId="0DA76042" w14:textId="77777777" w:rsidR="007A5FBB" w:rsidRPr="000B690D" w:rsidRDefault="007A5FBB" w:rsidP="00085338">
    <w:pPr>
      <w:pStyle w:val="llb"/>
      <w:rPr>
        <w:rFonts w:ascii="Garamond" w:hAnsi="Garamond"/>
        <w:b/>
        <w:smallCaps/>
      </w:rPr>
    </w:pPr>
    <w:r w:rsidRPr="000B690D">
      <w:rPr>
        <w:rFonts w:ascii="Garamond" w:hAnsi="Garamond"/>
        <w:b/>
        <w:smallCaps/>
      </w:rPr>
      <w:sym w:font="Wingdings" w:char="F028"/>
    </w:r>
    <w:r w:rsidRPr="000B690D">
      <w:rPr>
        <w:rFonts w:ascii="Garamond" w:hAnsi="Garamond"/>
        <w:b/>
        <w:smallCaps/>
      </w:rPr>
      <w:sym w:font="Wingdings" w:char="F039"/>
    </w:r>
    <w:r w:rsidRPr="000B690D">
      <w:rPr>
        <w:rFonts w:ascii="Garamond" w:hAnsi="Garamond"/>
        <w:b/>
        <w:smallCaps/>
      </w:rPr>
      <w:t xml:space="preserve"> (1) 372-2505</w:t>
    </w:r>
  </w:p>
  <w:p w14:paraId="69247F2B" w14:textId="77777777" w:rsidR="007A5FBB" w:rsidRPr="00085338" w:rsidRDefault="007A5FBB" w:rsidP="00085338">
    <w:pPr>
      <w:pStyle w:val="llb"/>
      <w:tabs>
        <w:tab w:val="clear" w:pos="4536"/>
        <w:tab w:val="clear" w:pos="9072"/>
        <w:tab w:val="right" w:pos="9781"/>
      </w:tabs>
      <w:ind w:left="-709" w:firstLine="709"/>
      <w:rPr>
        <w:rFonts w:ascii="Garamond" w:hAnsi="Garamond"/>
      </w:rPr>
    </w:pPr>
    <w:r w:rsidRPr="000B690D">
      <w:rPr>
        <w:rFonts w:ascii="Garamond" w:hAnsi="Garamond"/>
        <w:b/>
        <w:smallCaps/>
      </w:rPr>
      <w:sym w:font="Wingdings" w:char="F02C"/>
    </w:r>
    <w:r w:rsidRPr="000B690D">
      <w:rPr>
        <w:rFonts w:ascii="Garamond" w:hAnsi="Garamond"/>
        <w:b/>
        <w:smallCaps/>
      </w:rPr>
      <w:t xml:space="preserve"> </w:t>
    </w:r>
    <w:r>
      <w:rPr>
        <w:rFonts w:ascii="Garamond" w:hAnsi="Garamond"/>
        <w:b/>
      </w:rPr>
      <w:t>dekan@ttk.elte.hu</w:t>
    </w:r>
    <w:r w:rsidRPr="000B690D">
      <w:rPr>
        <w:rFonts w:ascii="Garamond" w:hAnsi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1D78" w14:textId="77777777" w:rsidR="007A5FBB" w:rsidRDefault="007A5FBB" w:rsidP="00085338">
      <w:r>
        <w:separator/>
      </w:r>
    </w:p>
  </w:footnote>
  <w:footnote w:type="continuationSeparator" w:id="0">
    <w:p w14:paraId="4A351660" w14:textId="77777777" w:rsidR="007A5FBB" w:rsidRDefault="007A5FBB" w:rsidP="00085338">
      <w:r>
        <w:continuationSeparator/>
      </w:r>
    </w:p>
  </w:footnote>
  <w:footnote w:id="1">
    <w:p w14:paraId="4208DEE5" w14:textId="77777777" w:rsidR="00925BA9" w:rsidRDefault="00925BA9" w:rsidP="00925BA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D30904">
          <w:rPr>
            <w:rStyle w:val="Hiperhivatkozs"/>
          </w:rPr>
          <w:t>https://www.elte.hu/dstore/document/4606/ELTE-JOKT-2020-03-12.pdf</w:t>
        </w:r>
      </w:hyperlink>
      <w:r>
        <w:t xml:space="preserve"> </w:t>
      </w:r>
    </w:p>
  </w:footnote>
  <w:footnote w:id="2">
    <w:p w14:paraId="695BBD66" w14:textId="77777777" w:rsidR="00925BA9" w:rsidRPr="0041728E" w:rsidRDefault="00925BA9" w:rsidP="00925BA9">
      <w:pPr>
        <w:pStyle w:val="Lbjegyzetszveg"/>
        <w:jc w:val="both"/>
        <w:rPr>
          <w:rStyle w:val="Hiperhivatkozs"/>
        </w:rPr>
      </w:pPr>
      <w:r>
        <w:rPr>
          <w:rStyle w:val="Lbjegyzet-hivatkozs"/>
        </w:rPr>
        <w:footnoteRef/>
      </w:r>
      <w:r>
        <w:t xml:space="preserve"> </w:t>
      </w:r>
      <w:hyperlink r:id="rId2" w:history="1">
        <w:r>
          <w:rPr>
            <w:rStyle w:val="Hiperhivatkozs"/>
          </w:rPr>
          <w:t>segédlet</w:t>
        </w:r>
      </w:hyperlink>
      <w:r>
        <w:t xml:space="preserve"> a </w:t>
      </w:r>
      <w:proofErr w:type="spellStart"/>
      <w:r>
        <w:t>Canvas</w:t>
      </w:r>
      <w:proofErr w:type="spellEnd"/>
      <w:r>
        <w:t xml:space="preserve"> tanulásmenedzsment rendszerhez, </w:t>
      </w:r>
      <w:r w:rsidRPr="00B60C5C">
        <w:t>a legfontosabb e-</w:t>
      </w:r>
      <w:proofErr w:type="spellStart"/>
      <w:r w:rsidRPr="00B60C5C">
        <w:t>learning</w:t>
      </w:r>
      <w:proofErr w:type="spellEnd"/>
      <w:r w:rsidRPr="00B60C5C">
        <w:t xml:space="preserve"> műveleteket áttekintése egy egyetemi félév eseményeihez igazodva</w:t>
      </w:r>
      <w:r>
        <w:t xml:space="preserve"> </w:t>
      </w:r>
      <w:hyperlink r:id="rId3" w:history="1">
        <w:r w:rsidRPr="0041728E">
          <w:rPr>
            <w:rStyle w:val="Hiperhivatkozs"/>
          </w:rPr>
          <w:t>LMS gyorssegéd</w:t>
        </w:r>
      </w:hyperlink>
    </w:p>
    <w:p w14:paraId="7F7DD375" w14:textId="77777777" w:rsidR="00925BA9" w:rsidRDefault="005B4F90" w:rsidP="00925BA9">
      <w:pPr>
        <w:pStyle w:val="Listaszerbekezds"/>
        <w:spacing w:after="0" w:line="240" w:lineRule="auto"/>
        <w:ind w:left="0"/>
        <w:contextualSpacing w:val="0"/>
        <w:jc w:val="both"/>
      </w:pPr>
      <w:hyperlink r:id="rId4" w:history="1">
        <w:r w:rsidR="00925BA9" w:rsidRPr="0041728E">
          <w:rPr>
            <w:rStyle w:val="Hiperhivatkozs"/>
            <w:rFonts w:ascii="Times New Roman" w:eastAsia="Times New Roman" w:hAnsi="Times New Roman"/>
            <w:sz w:val="20"/>
            <w:szCs w:val="20"/>
            <w:lang w:eastAsia="hu-HU"/>
          </w:rPr>
          <w:t>E-</w:t>
        </w:r>
        <w:proofErr w:type="spellStart"/>
        <w:r w:rsidR="00925BA9" w:rsidRPr="0041728E">
          <w:rPr>
            <w:rStyle w:val="Hiperhivatkozs"/>
            <w:rFonts w:ascii="Times New Roman" w:eastAsia="Times New Roman" w:hAnsi="Times New Roman"/>
            <w:sz w:val="20"/>
            <w:szCs w:val="20"/>
            <w:lang w:eastAsia="hu-HU"/>
          </w:rPr>
          <w:t>learning</w:t>
        </w:r>
        <w:proofErr w:type="spellEnd"/>
        <w:r w:rsidR="00925BA9" w:rsidRPr="0041728E">
          <w:rPr>
            <w:rStyle w:val="Hiperhivatkozs"/>
            <w:rFonts w:ascii="Times New Roman" w:eastAsia="Times New Roman" w:hAnsi="Times New Roman"/>
            <w:sz w:val="20"/>
            <w:szCs w:val="20"/>
            <w:lang w:eastAsia="hu-HU"/>
          </w:rPr>
          <w:t xml:space="preserve"> GYIK</w:t>
        </w:r>
      </w:hyperlink>
    </w:p>
  </w:footnote>
  <w:footnote w:id="3">
    <w:p w14:paraId="192634CE" w14:textId="77777777" w:rsidR="00925BA9" w:rsidRDefault="00925BA9" w:rsidP="00925BA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93987">
        <w:t xml:space="preserve">Microsoft </w:t>
      </w:r>
      <w:proofErr w:type="spellStart"/>
      <w:r w:rsidRPr="00293987">
        <w:t>Teams</w:t>
      </w:r>
      <w:proofErr w:type="spellEnd"/>
      <w:r w:rsidRPr="00293987">
        <w:t xml:space="preserve"> esetén a csoportok karon történő kezelésének felelőse Ágasvári Zsolt (Tanulmányi Hivatal).</w:t>
      </w:r>
      <w:r>
        <w:rPr>
          <w:sz w:val="24"/>
          <w:szCs w:val="24"/>
        </w:rPr>
        <w:t xml:space="preserve"> </w:t>
      </w:r>
    </w:p>
  </w:footnote>
  <w:footnote w:id="4">
    <w:p w14:paraId="69C47BB4" w14:textId="77777777" w:rsidR="00925BA9" w:rsidRDefault="00925BA9" w:rsidP="00925B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5" w:history="1">
        <w:r>
          <w:rPr>
            <w:rStyle w:val="Hiperhivatkozs"/>
          </w:rPr>
          <w:t>hangos kísérőszöveg rögzítése PowerPoint fájlhoz</w:t>
        </w:r>
      </w:hyperlink>
    </w:p>
  </w:footnote>
  <w:footnote w:id="5">
    <w:p w14:paraId="31CAA36D" w14:textId="77777777" w:rsidR="00925BA9" w:rsidRDefault="00925BA9" w:rsidP="00925BA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93987">
        <w:t>A távolról elérhető könyvek, folyóiratok listája itt elérhető:</w:t>
      </w:r>
      <w:r>
        <w:rPr>
          <w:sz w:val="24"/>
          <w:szCs w:val="24"/>
        </w:rPr>
        <w:t xml:space="preserve"> </w:t>
      </w:r>
      <w:hyperlink r:id="rId6" w:history="1">
        <w:r w:rsidRPr="00293987">
          <w:rPr>
            <w:rStyle w:val="Hiperhivatkozs"/>
          </w:rPr>
          <w:t>https://ttk.elte.hu/content/otthonrol-elerheto-konyvek-folyoiratok.t.2951</w:t>
        </w:r>
      </w:hyperlink>
      <w:r w:rsidRPr="00293987">
        <w:rPr>
          <w:rStyle w:val="Hiperhivatkoz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662"/>
    </w:tblGrid>
    <w:tr w:rsidR="007A5FBB" w14:paraId="2C926EC4" w14:textId="77777777" w:rsidTr="007A5FBB">
      <w:tc>
        <w:tcPr>
          <w:tcW w:w="2552" w:type="dxa"/>
          <w:tcBorders>
            <w:bottom w:val="single" w:sz="6" w:space="0" w:color="auto"/>
          </w:tcBorders>
        </w:tcPr>
        <w:p w14:paraId="2C9C175C" w14:textId="77777777" w:rsidR="007A5FBB" w:rsidRDefault="007A5FBB" w:rsidP="00085338">
          <w:pPr>
            <w:pStyle w:val="lfej"/>
            <w:spacing w:before="240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98675C1" wp14:editId="56602768">
                <wp:extent cx="1162050" cy="1152525"/>
                <wp:effectExtent l="0" t="0" r="0" b="9525"/>
                <wp:docPr id="2" name="Kép 2" descr="cimerjavito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javi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bottom w:val="single" w:sz="6" w:space="0" w:color="auto"/>
          </w:tcBorders>
        </w:tcPr>
        <w:p w14:paraId="7B38F292" w14:textId="77777777" w:rsidR="007A5FBB" w:rsidRDefault="007A5FBB" w:rsidP="00085338">
          <w:pPr>
            <w:pStyle w:val="lfej"/>
            <w:spacing w:before="240"/>
            <w:jc w:val="center"/>
            <w:rPr>
              <w:smallCaps/>
              <w:sz w:val="40"/>
            </w:rPr>
          </w:pPr>
        </w:p>
        <w:p w14:paraId="52BEB630" w14:textId="77777777" w:rsidR="007A5FBB" w:rsidRPr="000B690D" w:rsidRDefault="007A5FBB" w:rsidP="00085338">
          <w:pPr>
            <w:pStyle w:val="lfej"/>
            <w:jc w:val="center"/>
            <w:rPr>
              <w:rFonts w:ascii="Garamond" w:hAnsi="Garamond"/>
              <w:smallCaps/>
              <w:sz w:val="40"/>
            </w:rPr>
          </w:pPr>
          <w:r w:rsidRPr="000B690D">
            <w:rPr>
              <w:rFonts w:ascii="Garamond" w:hAnsi="Garamond"/>
              <w:smallCaps/>
              <w:sz w:val="40"/>
            </w:rPr>
            <w:t>Eötvös Loránd Tudományegyetem</w:t>
          </w:r>
        </w:p>
        <w:p w14:paraId="79601FAF" w14:textId="77777777" w:rsidR="007A5FBB" w:rsidRPr="000B690D" w:rsidRDefault="007A5FBB" w:rsidP="00085338">
          <w:pPr>
            <w:pStyle w:val="lfej"/>
            <w:tabs>
              <w:tab w:val="clear" w:pos="4536"/>
            </w:tabs>
            <w:jc w:val="center"/>
            <w:rPr>
              <w:rFonts w:ascii="Garamond" w:hAnsi="Garamond"/>
              <w:smallCaps/>
              <w:sz w:val="40"/>
            </w:rPr>
          </w:pPr>
          <w:r w:rsidRPr="000B690D">
            <w:rPr>
              <w:rFonts w:ascii="Garamond" w:hAnsi="Garamond"/>
              <w:smallCaps/>
              <w:sz w:val="40"/>
            </w:rPr>
            <w:t>Természettudományi Kar</w:t>
          </w:r>
        </w:p>
        <w:p w14:paraId="77AC6B04" w14:textId="77777777" w:rsidR="007A5FBB" w:rsidRDefault="007A5FBB" w:rsidP="00085338">
          <w:pPr>
            <w:pStyle w:val="lfej"/>
            <w:tabs>
              <w:tab w:val="clear" w:pos="4536"/>
            </w:tabs>
            <w:spacing w:after="120"/>
            <w:jc w:val="center"/>
            <w:rPr>
              <w:sz w:val="40"/>
            </w:rPr>
          </w:pPr>
          <w:r w:rsidRPr="000B690D">
            <w:rPr>
              <w:rFonts w:ascii="Garamond" w:hAnsi="Garamond"/>
              <w:smallCaps/>
              <w:sz w:val="40"/>
            </w:rPr>
            <w:t>Dékán</w:t>
          </w:r>
        </w:p>
      </w:tc>
    </w:tr>
  </w:tbl>
  <w:p w14:paraId="08B027DA" w14:textId="77777777" w:rsidR="007A5FBB" w:rsidRDefault="007A5F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703"/>
    <w:multiLevelType w:val="hybridMultilevel"/>
    <w:tmpl w:val="62245C3E"/>
    <w:lvl w:ilvl="0" w:tplc="54F47D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E03D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6C17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EFBB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FD3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A700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604E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0AFD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2060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B5FC1"/>
    <w:multiLevelType w:val="hybridMultilevel"/>
    <w:tmpl w:val="EE86133C"/>
    <w:lvl w:ilvl="0" w:tplc="19A084B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1950A8"/>
    <w:multiLevelType w:val="hybridMultilevel"/>
    <w:tmpl w:val="38C0978C"/>
    <w:lvl w:ilvl="0" w:tplc="2AB6E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588A"/>
    <w:multiLevelType w:val="hybridMultilevel"/>
    <w:tmpl w:val="E048B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38"/>
    <w:rsid w:val="0003411C"/>
    <w:rsid w:val="000370FA"/>
    <w:rsid w:val="00054926"/>
    <w:rsid w:val="00085338"/>
    <w:rsid w:val="000942F0"/>
    <w:rsid w:val="000C7F4C"/>
    <w:rsid w:val="0011619C"/>
    <w:rsid w:val="00145A59"/>
    <w:rsid w:val="001A1C40"/>
    <w:rsid w:val="001B1F43"/>
    <w:rsid w:val="00215571"/>
    <w:rsid w:val="002304DC"/>
    <w:rsid w:val="00256848"/>
    <w:rsid w:val="002B79E9"/>
    <w:rsid w:val="002D65E3"/>
    <w:rsid w:val="002E40AE"/>
    <w:rsid w:val="003109D8"/>
    <w:rsid w:val="00311654"/>
    <w:rsid w:val="003273A4"/>
    <w:rsid w:val="0033473E"/>
    <w:rsid w:val="003508A5"/>
    <w:rsid w:val="00354848"/>
    <w:rsid w:val="0038098A"/>
    <w:rsid w:val="00382C08"/>
    <w:rsid w:val="00384403"/>
    <w:rsid w:val="003A368D"/>
    <w:rsid w:val="003B593D"/>
    <w:rsid w:val="00402A0C"/>
    <w:rsid w:val="00414F6F"/>
    <w:rsid w:val="00425062"/>
    <w:rsid w:val="00426543"/>
    <w:rsid w:val="00443883"/>
    <w:rsid w:val="004A6B23"/>
    <w:rsid w:val="004B240F"/>
    <w:rsid w:val="004F56A2"/>
    <w:rsid w:val="00552823"/>
    <w:rsid w:val="005726F7"/>
    <w:rsid w:val="00573D3E"/>
    <w:rsid w:val="00590E7A"/>
    <w:rsid w:val="005B4F90"/>
    <w:rsid w:val="005D55F7"/>
    <w:rsid w:val="006423B1"/>
    <w:rsid w:val="00653739"/>
    <w:rsid w:val="00664164"/>
    <w:rsid w:val="006D73C6"/>
    <w:rsid w:val="006F473C"/>
    <w:rsid w:val="00745E48"/>
    <w:rsid w:val="00745EB9"/>
    <w:rsid w:val="007A5FBB"/>
    <w:rsid w:val="007B0179"/>
    <w:rsid w:val="008051E4"/>
    <w:rsid w:val="008629B4"/>
    <w:rsid w:val="00864140"/>
    <w:rsid w:val="008A15E1"/>
    <w:rsid w:val="008B6B24"/>
    <w:rsid w:val="008D38DE"/>
    <w:rsid w:val="0092323F"/>
    <w:rsid w:val="00923D28"/>
    <w:rsid w:val="00925BA9"/>
    <w:rsid w:val="009471D4"/>
    <w:rsid w:val="00954B8E"/>
    <w:rsid w:val="00960386"/>
    <w:rsid w:val="009902F0"/>
    <w:rsid w:val="009B0FE5"/>
    <w:rsid w:val="009C07F9"/>
    <w:rsid w:val="009F7C4C"/>
    <w:rsid w:val="00AB28DE"/>
    <w:rsid w:val="00B03893"/>
    <w:rsid w:val="00B3661F"/>
    <w:rsid w:val="00B413A5"/>
    <w:rsid w:val="00B421ED"/>
    <w:rsid w:val="00B43F41"/>
    <w:rsid w:val="00B450F5"/>
    <w:rsid w:val="00B86886"/>
    <w:rsid w:val="00BD2678"/>
    <w:rsid w:val="00C70F58"/>
    <w:rsid w:val="00C72F23"/>
    <w:rsid w:val="00C85396"/>
    <w:rsid w:val="00C94486"/>
    <w:rsid w:val="00CB084F"/>
    <w:rsid w:val="00CC4C7B"/>
    <w:rsid w:val="00CC6499"/>
    <w:rsid w:val="00CF1E70"/>
    <w:rsid w:val="00CF6504"/>
    <w:rsid w:val="00D0619B"/>
    <w:rsid w:val="00D83C9A"/>
    <w:rsid w:val="00DD255F"/>
    <w:rsid w:val="00DF3C09"/>
    <w:rsid w:val="00E11B63"/>
    <w:rsid w:val="00E21D78"/>
    <w:rsid w:val="00E37982"/>
    <w:rsid w:val="00E5781C"/>
    <w:rsid w:val="00E77CD3"/>
    <w:rsid w:val="00E91D9D"/>
    <w:rsid w:val="00EA2327"/>
    <w:rsid w:val="00EA363E"/>
    <w:rsid w:val="00EC4ECC"/>
    <w:rsid w:val="00F01624"/>
    <w:rsid w:val="00F02A46"/>
    <w:rsid w:val="00F14A04"/>
    <w:rsid w:val="00F24B4B"/>
    <w:rsid w:val="00F57156"/>
    <w:rsid w:val="00F75AB9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0E427C"/>
  <w15:chartTrackingRefBased/>
  <w15:docId w15:val="{34982AB4-C962-4ED1-B858-E42CD2E8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5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85338"/>
  </w:style>
  <w:style w:type="paragraph" w:styleId="llb">
    <w:name w:val="footer"/>
    <w:basedOn w:val="Norml"/>
    <w:link w:val="llbChar"/>
    <w:unhideWhenUsed/>
    <w:rsid w:val="00085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85338"/>
  </w:style>
  <w:style w:type="paragraph" w:styleId="Csakszveg">
    <w:name w:val="Plain Text"/>
    <w:basedOn w:val="Norml"/>
    <w:link w:val="CsakszvegChar"/>
    <w:uiPriority w:val="99"/>
    <w:unhideWhenUsed/>
    <w:rsid w:val="003508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508A5"/>
    <w:rPr>
      <w:rFonts w:ascii="Calibri" w:eastAsia="Calibri" w:hAnsi="Calibri" w:cs="Times New Roman"/>
      <w:szCs w:val="21"/>
    </w:rPr>
  </w:style>
  <w:style w:type="paragraph" w:customStyle="1" w:styleId="PreformattedText">
    <w:name w:val="Preformatted Text"/>
    <w:basedOn w:val="Norml"/>
    <w:rsid w:val="003508A5"/>
    <w:pPr>
      <w:widowControl w:val="0"/>
      <w:suppressAutoHyphens/>
      <w:autoSpaceDN w:val="0"/>
      <w:textAlignment w:val="baseline"/>
    </w:pPr>
    <w:rPr>
      <w:rFonts w:ascii="Liberation Mono" w:eastAsia="Courier New" w:hAnsi="Liberation Mono" w:cs="Liberation Mono"/>
      <w:kern w:val="3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1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11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72F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726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6F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6F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6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6F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5715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715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C40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925BA9"/>
  </w:style>
  <w:style w:type="character" w:customStyle="1" w:styleId="LbjegyzetszvegChar">
    <w:name w:val="Lábjegyzetszöveg Char"/>
    <w:basedOn w:val="Bekezdsalapbettpusa"/>
    <w:link w:val="Lbjegyzetszveg"/>
    <w:uiPriority w:val="99"/>
    <w:rsid w:val="00925B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925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te.hu/elearning/lms" TargetMode="External"/><Relationship Id="rId2" Type="http://schemas.openxmlformats.org/officeDocument/2006/relationships/hyperlink" Target="https://www.elte.hu/elearning/oktatas-online-terben?m=576" TargetMode="External"/><Relationship Id="rId1" Type="http://schemas.openxmlformats.org/officeDocument/2006/relationships/hyperlink" Target="https://www.elte.hu/dstore/document/4606/ELTE-JOKT-2020-03-12.pdf" TargetMode="External"/><Relationship Id="rId6" Type="http://schemas.openxmlformats.org/officeDocument/2006/relationships/hyperlink" Target="https://ttk.elte.hu/content/otthonrol-elerheto-konyvek-folyoiratok.t.2951" TargetMode="External"/><Relationship Id="rId5" Type="http://schemas.openxmlformats.org/officeDocument/2006/relationships/hyperlink" Target="https://support.office.com/hu-hu/article/hangos-k%C3%ADs%C3%A9r%C5%91sz%C3%B6veg-r%C3%B6gz%C3%ADt%C3%A9se-a-powerpoint-bemutat%C3%B3ban-232d5fec-fc90-4abb-9332-c469d336d947" TargetMode="External"/><Relationship Id="rId4" Type="http://schemas.openxmlformats.org/officeDocument/2006/relationships/hyperlink" Target="https://www.elte.hu/elearning/gy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4DB7-1BBF-4E9A-99ED-DC448119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Varróné Dr Boros Melinda</cp:lastModifiedBy>
  <cp:revision>5</cp:revision>
  <cp:lastPrinted>2019-11-22T12:07:00Z</cp:lastPrinted>
  <dcterms:created xsi:type="dcterms:W3CDTF">2020-03-15T13:18:00Z</dcterms:created>
  <dcterms:modified xsi:type="dcterms:W3CDTF">2020-03-15T14:28:00Z</dcterms:modified>
</cp:coreProperties>
</file>